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29D2D" w14:textId="77777777" w:rsidR="004C7B8C" w:rsidRPr="004C7B8C" w:rsidRDefault="004C7B8C" w:rsidP="004C7B8C">
      <w:pPr>
        <w:rPr>
          <w:b/>
          <w:lang w:val="en-US"/>
        </w:rPr>
      </w:pPr>
      <w:r>
        <w:rPr>
          <w:b/>
          <w:lang w:val="en-US"/>
        </w:rPr>
        <w:t>Discussion of Informality in India</w:t>
      </w:r>
    </w:p>
    <w:p w14:paraId="2EA49C65" w14:textId="77777777" w:rsidR="004C7B8C" w:rsidRPr="004C7B8C" w:rsidRDefault="004C7B8C" w:rsidP="004C7B8C">
      <w:pPr>
        <w:rPr>
          <w:lang w:val="en-US"/>
        </w:rPr>
      </w:pPr>
    </w:p>
    <w:p w14:paraId="7C108862" w14:textId="2C8A8E79" w:rsidR="004C7B8C" w:rsidRPr="004C7B8C" w:rsidRDefault="004C7B8C" w:rsidP="004C7B8C">
      <w:pPr>
        <w:rPr>
          <w:lang w:val="en-US"/>
        </w:rPr>
      </w:pPr>
      <w:r w:rsidRPr="004C7B8C">
        <w:rPr>
          <w:lang w:val="en-US"/>
        </w:rPr>
        <w:t xml:space="preserve">It is important to </w:t>
      </w:r>
      <w:r w:rsidR="003F775E">
        <w:rPr>
          <w:lang w:val="en-US"/>
        </w:rPr>
        <w:t xml:space="preserve">situate our sample of low wage service </w:t>
      </w:r>
      <w:r w:rsidRPr="004C7B8C">
        <w:rPr>
          <w:lang w:val="en-US"/>
        </w:rPr>
        <w:t xml:space="preserve">workers within the wider urban labor force in India and beyond. This will provide useful context for understanding the political economic transformations globally so we can make some general comparisons with similar workers in the service industry in other parts of the world. At the same time it will allow for understanding the local, regional, and national dynamics of labor relations through which global processes like neoliberalism work on the ground in specific historical and socio-cultural contexts.  </w:t>
      </w:r>
    </w:p>
    <w:p w14:paraId="214D1290" w14:textId="77777777" w:rsidR="004C7B8C" w:rsidRPr="004C7B8C" w:rsidRDefault="004C7B8C" w:rsidP="004C7B8C">
      <w:pPr>
        <w:rPr>
          <w:lang w:val="en-US"/>
        </w:rPr>
      </w:pPr>
    </w:p>
    <w:p w14:paraId="24CDD4A3" w14:textId="4AB46083" w:rsidR="004C7B8C" w:rsidRPr="004C7B8C" w:rsidRDefault="004C7B8C" w:rsidP="004C7B8C">
      <w:pPr>
        <w:rPr>
          <w:lang w:val="en-US"/>
        </w:rPr>
      </w:pPr>
      <w:r w:rsidRPr="004C7B8C">
        <w:rPr>
          <w:lang w:val="en-US"/>
        </w:rPr>
        <w:t xml:space="preserve">Informal workers have always been an integral part of the global economy although their relative preponderance across countries and regions has been varied. Indeed even the definition of informal work and workers vary across different national contexts. According to the ILO informality exists in both overdeveloped and developing economies around the world but is more common in the latter. </w:t>
      </w:r>
      <w:r w:rsidR="00C305C6">
        <w:rPr>
          <w:lang w:val="en-US"/>
        </w:rPr>
        <w:t>I</w:t>
      </w:r>
      <w:r w:rsidRPr="004C7B8C">
        <w:rPr>
          <w:lang w:val="en-US"/>
        </w:rPr>
        <w:t xml:space="preserve">nformal work has been </w:t>
      </w:r>
      <w:r w:rsidR="00C305C6">
        <w:rPr>
          <w:lang w:val="en-US"/>
        </w:rPr>
        <w:t xml:space="preserve">historically </w:t>
      </w:r>
      <w:r w:rsidRPr="004C7B8C">
        <w:rPr>
          <w:lang w:val="en-US"/>
        </w:rPr>
        <w:t>conceptualized</w:t>
      </w:r>
      <w:r w:rsidR="00C305C6">
        <w:rPr>
          <w:lang w:val="en-US"/>
        </w:rPr>
        <w:t xml:space="preserve"> in different ways. For example </w:t>
      </w:r>
      <w:r w:rsidRPr="004C7B8C">
        <w:rPr>
          <w:lang w:val="en-US"/>
        </w:rPr>
        <w:t xml:space="preserve">the transition from the notion of the ‘informal sector’ to ‘informal economy’ </w:t>
      </w:r>
      <w:r w:rsidR="00C305C6">
        <w:rPr>
          <w:lang w:val="en-US"/>
        </w:rPr>
        <w:t xml:space="preserve">has been prevalent </w:t>
      </w:r>
      <w:r w:rsidRPr="004C7B8C">
        <w:rPr>
          <w:lang w:val="en-US"/>
        </w:rPr>
        <w:t>in relation to perceptions of underdevelopment in the global south. In the aftermath of the International Labor Conference in 2002, the notion of informality was expanded beyond its narrow scope within the informal sector to include workers who operated within informal employment conditions even in the formal sector. The 17</w:t>
      </w:r>
      <w:r w:rsidRPr="004C7B8C">
        <w:rPr>
          <w:vertAlign w:val="superscript"/>
          <w:lang w:val="en-US"/>
        </w:rPr>
        <w:t>th</w:t>
      </w:r>
      <w:r w:rsidRPr="004C7B8C">
        <w:rPr>
          <w:lang w:val="en-US"/>
        </w:rPr>
        <w:t xml:space="preserve"> International Conference on Labor Statistics in 2003 endorsed this notion to establish a clearer understanding of informal work that “distinguishes between informality from the perspective of production units as observation units, on the one hand, and that of jobs as observation units on the other”. According to this report employment in the informal sector refers to employment in informal enterprises, and informal employment refers to employment in informal jobs both inside and outside the informal sector (ILO 2013: 2). For the ILO the informal economy is thus made up of a wide variety of workers and entrepreneurs who remain unrecognized and unprotected in the national legal and regulatory frameworks (ILO 2013:1). In its report on decent work, the ILO emphasizes that “the informal economy can be seen to encompass a broad range of vulnerabilities, such as limited access to social protection, denial of labor rights, and lack of organization and representation. On average, informal workers earn far less than formal workers. In other words, most informal workers suffer from significant decent work deficits” (ibid). </w:t>
      </w:r>
    </w:p>
    <w:p w14:paraId="6F9118FB" w14:textId="77777777" w:rsidR="00B53E49" w:rsidRDefault="004C7B8C" w:rsidP="004C7B8C">
      <w:pPr>
        <w:rPr>
          <w:lang w:val="en-US"/>
        </w:rPr>
      </w:pPr>
      <w:r w:rsidRPr="004C7B8C">
        <w:rPr>
          <w:lang w:val="en-US"/>
        </w:rPr>
        <w:t xml:space="preserve">The table below provides a comparative context of the extent of informality across different regions in the global south in relation to other economic indicators like poverty, unemployment rate and total GDP per capita. Along with Bolivia, Vietnam and Zimbabwe, India is a relatively low-income country with high informal employment. 83.6% of its population is engaged in informal employment in non-agricultural work, which is the highest within this group of countries. It is interesting to note that India has the largest share of population in the informal sector i.e. 67.5% compared to others in this group of low-income countries and the smallest share in informal employment outside the informal sector i.e. 16.8%. This means that informalization within the formal sector of the economy related to flexible labor regimes of neoliberalism is relatively lower but has begun to take shape. Our sample of workers who serve in the IT/ITES industry is part of this small group of informal workers who work in the formal sector in Pune. </w:t>
      </w:r>
    </w:p>
    <w:p w14:paraId="1EC130AE" w14:textId="77777777" w:rsidR="00B53E49" w:rsidRDefault="004C7B8C" w:rsidP="004C7B8C">
      <w:pPr>
        <w:rPr>
          <w:lang w:val="en-US"/>
        </w:rPr>
      </w:pPr>
      <w:r w:rsidRPr="004C7B8C">
        <w:rPr>
          <w:lang w:val="en-US"/>
        </w:rPr>
        <w:t xml:space="preserve">Unlike this group of low-income countries, Mexico and Argentina are relatively high-income with high informal employment. As the figures indicate these figures are however much lower than the previous group of low-income countries, but they do have high unemployment rates. Brazil, Turkey and Venezuela on the other hand are relatively high-income countries with low informal employment. </w:t>
      </w:r>
    </w:p>
    <w:p w14:paraId="38EA0C40" w14:textId="39B9E77F" w:rsidR="004C7B8C" w:rsidRPr="004C7B8C" w:rsidRDefault="004C7B8C" w:rsidP="004C7B8C">
      <w:pPr>
        <w:rPr>
          <w:b/>
          <w:lang w:val="en-US"/>
        </w:rPr>
      </w:pPr>
      <w:r w:rsidRPr="004C7B8C">
        <w:rPr>
          <w:lang w:val="en-US"/>
        </w:rPr>
        <w:t>The comparative framework in the table below is significant to keep in mind because it first, reflects that informality is a condition that is not unique to India but is prevalent across the world, predominantly in the global south; and second, it also reflects that informality also persists in economies which have relatively lower and higher poverty, unemployment rates and overall GDP</w:t>
      </w:r>
      <w:r w:rsidR="00B53E49">
        <w:rPr>
          <w:lang w:val="en-US"/>
        </w:rPr>
        <w:t>,</w:t>
      </w:r>
      <w:r w:rsidRPr="004C7B8C">
        <w:rPr>
          <w:lang w:val="en-US"/>
        </w:rPr>
        <w:t xml:space="preserve"> than India</w:t>
      </w:r>
      <w:r w:rsidR="00B53E49">
        <w:rPr>
          <w:lang w:val="en-US"/>
        </w:rPr>
        <w:t>,</w:t>
      </w:r>
      <w:r w:rsidRPr="004C7B8C">
        <w:rPr>
          <w:lang w:val="en-US"/>
        </w:rPr>
        <w:t xml:space="preserve"> where informal workers in the formal sector represents a significant proportion. Moreover rate of unemployment may not be a good indicator of the health of an economy if that country’s population still has large numbers of its workforce who work under the conditions of informality. </w:t>
      </w:r>
    </w:p>
    <w:p w14:paraId="05E4D2A3" w14:textId="77777777" w:rsidR="004C7B8C" w:rsidRPr="004C7B8C" w:rsidRDefault="004C7B8C" w:rsidP="004C7B8C">
      <w:pPr>
        <w:rPr>
          <w:b/>
          <w:lang w:val="en-US"/>
        </w:rPr>
      </w:pPr>
      <w:r w:rsidRPr="004C7B8C">
        <w:rPr>
          <w:b/>
          <w:lang w:val="en-US"/>
        </w:rPr>
        <w:t xml:space="preserve">Select economic indicators and share (%) of employment in informal economy in non-agricultural activities across countries </w:t>
      </w:r>
    </w:p>
    <w:p w14:paraId="36717375" w14:textId="77777777" w:rsidR="004C7B8C" w:rsidRPr="004C7B8C" w:rsidRDefault="004C7B8C" w:rsidP="004C7B8C">
      <w:pPr>
        <w:rPr>
          <w:lang w:val="en-US"/>
        </w:rPr>
      </w:pPr>
    </w:p>
    <w:tbl>
      <w:tblPr>
        <w:tblStyle w:val="TableGrid"/>
        <w:tblW w:w="9643" w:type="dxa"/>
        <w:tblLook w:val="04A0" w:firstRow="1" w:lastRow="0" w:firstColumn="1" w:lastColumn="0" w:noHBand="0" w:noVBand="1"/>
      </w:tblPr>
      <w:tblGrid>
        <w:gridCol w:w="1565"/>
        <w:gridCol w:w="1443"/>
        <w:gridCol w:w="1185"/>
        <w:gridCol w:w="1443"/>
        <w:gridCol w:w="913"/>
        <w:gridCol w:w="1742"/>
        <w:gridCol w:w="1352"/>
      </w:tblGrid>
      <w:tr w:rsidR="005A21B6" w:rsidRPr="004C7B8C" w14:paraId="4EB8E5AB" w14:textId="77777777" w:rsidTr="005A21B6">
        <w:trPr>
          <w:trHeight w:val="146"/>
        </w:trPr>
        <w:tc>
          <w:tcPr>
            <w:tcW w:w="1565" w:type="dxa"/>
          </w:tcPr>
          <w:p w14:paraId="39672AD8" w14:textId="77777777" w:rsidR="004C7B8C" w:rsidRPr="004C7B8C" w:rsidRDefault="004C7B8C" w:rsidP="004C7B8C">
            <w:pPr>
              <w:spacing w:after="160"/>
            </w:pPr>
            <w:r w:rsidRPr="004C7B8C">
              <w:t>Country/Year</w:t>
            </w:r>
          </w:p>
        </w:tc>
        <w:tc>
          <w:tcPr>
            <w:tcW w:w="1443" w:type="dxa"/>
          </w:tcPr>
          <w:p w14:paraId="45E3640E" w14:textId="77777777" w:rsidR="004C7B8C" w:rsidRPr="004C7B8C" w:rsidRDefault="004C7B8C" w:rsidP="004C7B8C">
            <w:pPr>
              <w:spacing w:after="160"/>
            </w:pPr>
            <w:r w:rsidRPr="004C7B8C">
              <w:t xml:space="preserve">Persons in informal employment </w:t>
            </w:r>
          </w:p>
          <w:p w14:paraId="3F8240C8" w14:textId="77777777" w:rsidR="004C7B8C" w:rsidRPr="004C7B8C" w:rsidRDefault="004C7B8C" w:rsidP="004C7B8C">
            <w:pPr>
              <w:spacing w:after="160"/>
            </w:pPr>
          </w:p>
          <w:p w14:paraId="02FC0E61" w14:textId="77777777" w:rsidR="004C7B8C" w:rsidRPr="004C7B8C" w:rsidRDefault="004C7B8C" w:rsidP="004C7B8C">
            <w:pPr>
              <w:spacing w:after="160"/>
            </w:pPr>
          </w:p>
          <w:p w14:paraId="1AC04AED" w14:textId="77777777" w:rsidR="004C7B8C" w:rsidRPr="004C7B8C" w:rsidRDefault="004C7B8C" w:rsidP="004C7B8C">
            <w:pPr>
              <w:spacing w:after="160"/>
            </w:pPr>
          </w:p>
          <w:p w14:paraId="5E07159A" w14:textId="77777777" w:rsidR="004C7B8C" w:rsidRPr="004C7B8C" w:rsidRDefault="004C7B8C" w:rsidP="004C7B8C">
            <w:pPr>
              <w:spacing w:after="160"/>
            </w:pPr>
            <w:r w:rsidRPr="004C7B8C">
              <w:t>A (B+C)</w:t>
            </w:r>
          </w:p>
        </w:tc>
        <w:tc>
          <w:tcPr>
            <w:tcW w:w="1185" w:type="dxa"/>
          </w:tcPr>
          <w:p w14:paraId="50D4ABEE" w14:textId="77777777" w:rsidR="004C7B8C" w:rsidRPr="004C7B8C" w:rsidRDefault="004C7B8C" w:rsidP="004C7B8C">
            <w:pPr>
              <w:spacing w:after="160"/>
            </w:pPr>
            <w:r w:rsidRPr="004C7B8C">
              <w:t xml:space="preserve">Persons employed in informal sector  </w:t>
            </w:r>
          </w:p>
          <w:p w14:paraId="09D4B463" w14:textId="77777777" w:rsidR="004C7B8C" w:rsidRPr="004C7B8C" w:rsidRDefault="004C7B8C" w:rsidP="004C7B8C">
            <w:pPr>
              <w:spacing w:after="160"/>
            </w:pPr>
          </w:p>
          <w:p w14:paraId="4018F529" w14:textId="77777777" w:rsidR="004C7B8C" w:rsidRPr="004C7B8C" w:rsidRDefault="004C7B8C" w:rsidP="004C7B8C">
            <w:pPr>
              <w:spacing w:after="160"/>
            </w:pPr>
            <w:r w:rsidRPr="004C7B8C">
              <w:t>B</w:t>
            </w:r>
          </w:p>
          <w:p w14:paraId="1881EC68" w14:textId="77777777" w:rsidR="004C7B8C" w:rsidRPr="004C7B8C" w:rsidRDefault="004C7B8C" w:rsidP="004C7B8C">
            <w:pPr>
              <w:spacing w:after="160"/>
            </w:pPr>
          </w:p>
        </w:tc>
        <w:tc>
          <w:tcPr>
            <w:tcW w:w="1443" w:type="dxa"/>
          </w:tcPr>
          <w:p w14:paraId="4B570256" w14:textId="77777777" w:rsidR="004C7B8C" w:rsidRPr="004C7B8C" w:rsidRDefault="004C7B8C" w:rsidP="004C7B8C">
            <w:pPr>
              <w:spacing w:after="160"/>
            </w:pPr>
            <w:r w:rsidRPr="004C7B8C">
              <w:t xml:space="preserve">Persons in informal employment outside informal sector </w:t>
            </w:r>
          </w:p>
          <w:p w14:paraId="64016BB1" w14:textId="77777777" w:rsidR="004C7B8C" w:rsidRPr="004C7B8C" w:rsidRDefault="004C7B8C" w:rsidP="004C7B8C">
            <w:pPr>
              <w:spacing w:after="160"/>
            </w:pPr>
            <w:r w:rsidRPr="004C7B8C">
              <w:t>C</w:t>
            </w:r>
          </w:p>
        </w:tc>
        <w:tc>
          <w:tcPr>
            <w:tcW w:w="913" w:type="dxa"/>
          </w:tcPr>
          <w:p w14:paraId="258D45F6" w14:textId="77777777" w:rsidR="004C7B8C" w:rsidRPr="004C7B8C" w:rsidRDefault="004C7B8C" w:rsidP="004C7B8C">
            <w:pPr>
              <w:spacing w:after="160"/>
            </w:pPr>
            <w:r w:rsidRPr="004C7B8C">
              <w:t>GDP per capita in current US $ (2010)</w:t>
            </w:r>
          </w:p>
          <w:p w14:paraId="37C1ADFB" w14:textId="77777777" w:rsidR="004C7B8C" w:rsidRPr="004C7B8C" w:rsidRDefault="004C7B8C" w:rsidP="004C7B8C">
            <w:pPr>
              <w:spacing w:after="160"/>
            </w:pPr>
          </w:p>
        </w:tc>
        <w:tc>
          <w:tcPr>
            <w:tcW w:w="1742" w:type="dxa"/>
          </w:tcPr>
          <w:p w14:paraId="1C3C5831" w14:textId="77777777" w:rsidR="004C7B8C" w:rsidRPr="004C7B8C" w:rsidRDefault="004C7B8C" w:rsidP="004C7B8C">
            <w:pPr>
              <w:spacing w:after="160"/>
            </w:pPr>
            <w:r w:rsidRPr="004C7B8C">
              <w:t xml:space="preserve">Unemployment Rate (% of economically active population) </w:t>
            </w:r>
          </w:p>
        </w:tc>
        <w:tc>
          <w:tcPr>
            <w:tcW w:w="1352" w:type="dxa"/>
          </w:tcPr>
          <w:p w14:paraId="521019C1" w14:textId="77777777" w:rsidR="004C7B8C" w:rsidRPr="004C7B8C" w:rsidRDefault="004C7B8C" w:rsidP="004C7B8C">
            <w:pPr>
              <w:spacing w:after="160"/>
            </w:pPr>
            <w:r w:rsidRPr="004C7B8C">
              <w:t>Poverty (% of population below national poverty line)</w:t>
            </w:r>
          </w:p>
        </w:tc>
      </w:tr>
      <w:tr w:rsidR="005A21B6" w:rsidRPr="004C7B8C" w14:paraId="5BA835AB" w14:textId="77777777" w:rsidTr="005A21B6">
        <w:trPr>
          <w:trHeight w:val="146"/>
        </w:trPr>
        <w:tc>
          <w:tcPr>
            <w:tcW w:w="1565" w:type="dxa"/>
          </w:tcPr>
          <w:p w14:paraId="264FA1D2" w14:textId="77777777" w:rsidR="004C7B8C" w:rsidRPr="004C7B8C" w:rsidRDefault="004C7B8C" w:rsidP="004C7B8C">
            <w:pPr>
              <w:spacing w:after="160"/>
            </w:pPr>
            <w:r w:rsidRPr="004C7B8C">
              <w:t xml:space="preserve">India </w:t>
            </w:r>
          </w:p>
          <w:p w14:paraId="57FFC0D1" w14:textId="77777777" w:rsidR="004C7B8C" w:rsidRPr="004C7B8C" w:rsidRDefault="004C7B8C" w:rsidP="004C7B8C">
            <w:pPr>
              <w:spacing w:after="160"/>
            </w:pPr>
            <w:r w:rsidRPr="004C7B8C">
              <w:t>(2009-2010)</w:t>
            </w:r>
          </w:p>
        </w:tc>
        <w:tc>
          <w:tcPr>
            <w:tcW w:w="1443" w:type="dxa"/>
          </w:tcPr>
          <w:p w14:paraId="0994EF5D" w14:textId="77777777" w:rsidR="004C7B8C" w:rsidRPr="004C7B8C" w:rsidRDefault="004C7B8C" w:rsidP="004C7B8C">
            <w:pPr>
              <w:spacing w:after="160"/>
            </w:pPr>
            <w:r w:rsidRPr="004C7B8C">
              <w:t>83.6</w:t>
            </w:r>
          </w:p>
        </w:tc>
        <w:tc>
          <w:tcPr>
            <w:tcW w:w="1185" w:type="dxa"/>
          </w:tcPr>
          <w:p w14:paraId="31AF89AB" w14:textId="77777777" w:rsidR="004C7B8C" w:rsidRPr="004C7B8C" w:rsidRDefault="004C7B8C" w:rsidP="004C7B8C">
            <w:pPr>
              <w:spacing w:after="160"/>
            </w:pPr>
            <w:r w:rsidRPr="004C7B8C">
              <w:t>67.5</w:t>
            </w:r>
          </w:p>
        </w:tc>
        <w:tc>
          <w:tcPr>
            <w:tcW w:w="1443" w:type="dxa"/>
          </w:tcPr>
          <w:p w14:paraId="36413884" w14:textId="77777777" w:rsidR="004C7B8C" w:rsidRPr="004C7B8C" w:rsidRDefault="004C7B8C" w:rsidP="004C7B8C">
            <w:pPr>
              <w:spacing w:after="160"/>
            </w:pPr>
            <w:r w:rsidRPr="004C7B8C">
              <w:t>16.8</w:t>
            </w:r>
          </w:p>
        </w:tc>
        <w:tc>
          <w:tcPr>
            <w:tcW w:w="913" w:type="dxa"/>
          </w:tcPr>
          <w:p w14:paraId="7F220028" w14:textId="77777777" w:rsidR="004C7B8C" w:rsidRPr="004C7B8C" w:rsidRDefault="004C7B8C" w:rsidP="004C7B8C">
            <w:pPr>
              <w:spacing w:after="160"/>
            </w:pPr>
            <w:r w:rsidRPr="004C7B8C">
              <w:t>1265</w:t>
            </w:r>
          </w:p>
        </w:tc>
        <w:tc>
          <w:tcPr>
            <w:tcW w:w="1742" w:type="dxa"/>
          </w:tcPr>
          <w:p w14:paraId="566D076D" w14:textId="77777777" w:rsidR="004C7B8C" w:rsidRPr="004C7B8C" w:rsidRDefault="004C7B8C" w:rsidP="004C7B8C">
            <w:pPr>
              <w:spacing w:after="160"/>
            </w:pPr>
            <w:r w:rsidRPr="004C7B8C">
              <w:t>4.3</w:t>
            </w:r>
          </w:p>
        </w:tc>
        <w:tc>
          <w:tcPr>
            <w:tcW w:w="1352" w:type="dxa"/>
          </w:tcPr>
          <w:p w14:paraId="2FC2B50B" w14:textId="77777777" w:rsidR="004C7B8C" w:rsidRPr="004C7B8C" w:rsidRDefault="004C7B8C" w:rsidP="004C7B8C">
            <w:pPr>
              <w:spacing w:after="160"/>
            </w:pPr>
            <w:r w:rsidRPr="004C7B8C">
              <w:t>27.5</w:t>
            </w:r>
          </w:p>
        </w:tc>
      </w:tr>
      <w:tr w:rsidR="005A21B6" w:rsidRPr="004C7B8C" w14:paraId="06890A56" w14:textId="77777777" w:rsidTr="005A21B6">
        <w:trPr>
          <w:trHeight w:val="146"/>
        </w:trPr>
        <w:tc>
          <w:tcPr>
            <w:tcW w:w="1565" w:type="dxa"/>
          </w:tcPr>
          <w:p w14:paraId="5F1FD6AF" w14:textId="77777777" w:rsidR="004C7B8C" w:rsidRPr="004C7B8C" w:rsidRDefault="004C7B8C" w:rsidP="004C7B8C">
            <w:pPr>
              <w:spacing w:after="160"/>
            </w:pPr>
            <w:r w:rsidRPr="004C7B8C">
              <w:t>Bolivia</w:t>
            </w:r>
          </w:p>
          <w:p w14:paraId="637BD130" w14:textId="77777777" w:rsidR="004C7B8C" w:rsidRPr="004C7B8C" w:rsidRDefault="004C7B8C" w:rsidP="004C7B8C">
            <w:pPr>
              <w:spacing w:after="160"/>
            </w:pPr>
            <w:r w:rsidRPr="004C7B8C">
              <w:t>(2006)</w:t>
            </w:r>
          </w:p>
        </w:tc>
        <w:tc>
          <w:tcPr>
            <w:tcW w:w="1443" w:type="dxa"/>
          </w:tcPr>
          <w:p w14:paraId="20150192" w14:textId="77777777" w:rsidR="004C7B8C" w:rsidRPr="004C7B8C" w:rsidRDefault="004C7B8C" w:rsidP="004C7B8C">
            <w:pPr>
              <w:spacing w:after="160"/>
            </w:pPr>
            <w:r w:rsidRPr="004C7B8C">
              <w:t>75.1</w:t>
            </w:r>
          </w:p>
        </w:tc>
        <w:tc>
          <w:tcPr>
            <w:tcW w:w="1185" w:type="dxa"/>
          </w:tcPr>
          <w:p w14:paraId="60E9FD6D" w14:textId="77777777" w:rsidR="004C7B8C" w:rsidRPr="004C7B8C" w:rsidRDefault="004C7B8C" w:rsidP="004C7B8C">
            <w:pPr>
              <w:spacing w:after="160"/>
            </w:pPr>
            <w:r w:rsidRPr="004C7B8C">
              <w:t>52.1</w:t>
            </w:r>
          </w:p>
        </w:tc>
        <w:tc>
          <w:tcPr>
            <w:tcW w:w="1443" w:type="dxa"/>
          </w:tcPr>
          <w:p w14:paraId="0BAC3211" w14:textId="77777777" w:rsidR="004C7B8C" w:rsidRPr="004C7B8C" w:rsidRDefault="004C7B8C" w:rsidP="004C7B8C">
            <w:pPr>
              <w:spacing w:after="160"/>
            </w:pPr>
            <w:r w:rsidRPr="004C7B8C">
              <w:t>23.5</w:t>
            </w:r>
          </w:p>
        </w:tc>
        <w:tc>
          <w:tcPr>
            <w:tcW w:w="913" w:type="dxa"/>
          </w:tcPr>
          <w:p w14:paraId="68096621" w14:textId="77777777" w:rsidR="004C7B8C" w:rsidRPr="004C7B8C" w:rsidRDefault="004C7B8C" w:rsidP="004C7B8C">
            <w:pPr>
              <w:spacing w:after="160"/>
            </w:pPr>
            <w:r w:rsidRPr="004C7B8C">
              <w:t>1858</w:t>
            </w:r>
          </w:p>
        </w:tc>
        <w:tc>
          <w:tcPr>
            <w:tcW w:w="1742" w:type="dxa"/>
          </w:tcPr>
          <w:p w14:paraId="4B9FE36B" w14:textId="77777777" w:rsidR="004C7B8C" w:rsidRPr="004C7B8C" w:rsidRDefault="004C7B8C" w:rsidP="004C7B8C">
            <w:pPr>
              <w:spacing w:after="160"/>
            </w:pPr>
            <w:r w:rsidRPr="004C7B8C">
              <w:t>7.9</w:t>
            </w:r>
          </w:p>
        </w:tc>
        <w:tc>
          <w:tcPr>
            <w:tcW w:w="1352" w:type="dxa"/>
          </w:tcPr>
          <w:p w14:paraId="4FE45B22" w14:textId="77777777" w:rsidR="004C7B8C" w:rsidRPr="004C7B8C" w:rsidRDefault="004C7B8C" w:rsidP="004C7B8C">
            <w:pPr>
              <w:spacing w:after="160"/>
            </w:pPr>
            <w:r w:rsidRPr="004C7B8C">
              <w:t>60.1</w:t>
            </w:r>
          </w:p>
        </w:tc>
      </w:tr>
      <w:tr w:rsidR="005A21B6" w:rsidRPr="004C7B8C" w14:paraId="29593358" w14:textId="77777777" w:rsidTr="005A21B6">
        <w:trPr>
          <w:trHeight w:val="146"/>
        </w:trPr>
        <w:tc>
          <w:tcPr>
            <w:tcW w:w="1565" w:type="dxa"/>
          </w:tcPr>
          <w:p w14:paraId="525E36B2" w14:textId="77777777" w:rsidR="004C7B8C" w:rsidRPr="004C7B8C" w:rsidRDefault="004C7B8C" w:rsidP="004C7B8C">
            <w:pPr>
              <w:spacing w:after="160"/>
            </w:pPr>
            <w:r w:rsidRPr="004C7B8C">
              <w:t>Vietnam (2009)</w:t>
            </w:r>
          </w:p>
          <w:p w14:paraId="03652003" w14:textId="77777777" w:rsidR="004C7B8C" w:rsidRPr="004C7B8C" w:rsidRDefault="004C7B8C" w:rsidP="004C7B8C">
            <w:pPr>
              <w:spacing w:after="160"/>
            </w:pPr>
          </w:p>
        </w:tc>
        <w:tc>
          <w:tcPr>
            <w:tcW w:w="1443" w:type="dxa"/>
          </w:tcPr>
          <w:p w14:paraId="5989C24B" w14:textId="77777777" w:rsidR="004C7B8C" w:rsidRPr="004C7B8C" w:rsidRDefault="004C7B8C" w:rsidP="004C7B8C">
            <w:pPr>
              <w:spacing w:after="160"/>
            </w:pPr>
            <w:r w:rsidRPr="004C7B8C">
              <w:t>68.2</w:t>
            </w:r>
          </w:p>
        </w:tc>
        <w:tc>
          <w:tcPr>
            <w:tcW w:w="1185" w:type="dxa"/>
          </w:tcPr>
          <w:p w14:paraId="14EFA1B9" w14:textId="77777777" w:rsidR="004C7B8C" w:rsidRPr="004C7B8C" w:rsidRDefault="004C7B8C" w:rsidP="004C7B8C">
            <w:pPr>
              <w:spacing w:after="160"/>
            </w:pPr>
            <w:r w:rsidRPr="004C7B8C">
              <w:t>43.5</w:t>
            </w:r>
          </w:p>
        </w:tc>
        <w:tc>
          <w:tcPr>
            <w:tcW w:w="1443" w:type="dxa"/>
          </w:tcPr>
          <w:p w14:paraId="481BEDF4" w14:textId="77777777" w:rsidR="004C7B8C" w:rsidRPr="004C7B8C" w:rsidRDefault="004C7B8C" w:rsidP="004C7B8C">
            <w:pPr>
              <w:spacing w:after="160"/>
            </w:pPr>
            <w:r w:rsidRPr="004C7B8C">
              <w:t>25.0</w:t>
            </w:r>
          </w:p>
        </w:tc>
        <w:tc>
          <w:tcPr>
            <w:tcW w:w="913" w:type="dxa"/>
          </w:tcPr>
          <w:p w14:paraId="728488DF" w14:textId="77777777" w:rsidR="004C7B8C" w:rsidRPr="004C7B8C" w:rsidRDefault="004C7B8C" w:rsidP="004C7B8C">
            <w:pPr>
              <w:spacing w:after="160"/>
            </w:pPr>
            <w:r w:rsidRPr="004C7B8C">
              <w:t>1174</w:t>
            </w:r>
          </w:p>
        </w:tc>
        <w:tc>
          <w:tcPr>
            <w:tcW w:w="1742" w:type="dxa"/>
          </w:tcPr>
          <w:p w14:paraId="6183CE0B" w14:textId="77777777" w:rsidR="004C7B8C" w:rsidRPr="004C7B8C" w:rsidRDefault="004C7B8C" w:rsidP="004C7B8C">
            <w:pPr>
              <w:spacing w:after="160"/>
            </w:pPr>
            <w:r w:rsidRPr="004C7B8C">
              <w:t>2.1</w:t>
            </w:r>
          </w:p>
        </w:tc>
        <w:tc>
          <w:tcPr>
            <w:tcW w:w="1352" w:type="dxa"/>
          </w:tcPr>
          <w:p w14:paraId="18845FBA" w14:textId="77777777" w:rsidR="004C7B8C" w:rsidRPr="004C7B8C" w:rsidRDefault="004C7B8C" w:rsidP="004C7B8C">
            <w:pPr>
              <w:spacing w:after="160"/>
            </w:pPr>
            <w:r w:rsidRPr="004C7B8C">
              <w:t>14.5</w:t>
            </w:r>
          </w:p>
        </w:tc>
      </w:tr>
      <w:tr w:rsidR="005A21B6" w:rsidRPr="004C7B8C" w14:paraId="6DBABCEB" w14:textId="77777777" w:rsidTr="005A21B6">
        <w:trPr>
          <w:trHeight w:val="146"/>
        </w:trPr>
        <w:tc>
          <w:tcPr>
            <w:tcW w:w="1565" w:type="dxa"/>
          </w:tcPr>
          <w:p w14:paraId="5E138977" w14:textId="77777777" w:rsidR="004C7B8C" w:rsidRPr="004C7B8C" w:rsidRDefault="004C7B8C" w:rsidP="004C7B8C">
            <w:pPr>
              <w:spacing w:after="160"/>
            </w:pPr>
            <w:r w:rsidRPr="004C7B8C">
              <w:t>Zimbabwe (2004)</w:t>
            </w:r>
          </w:p>
        </w:tc>
        <w:tc>
          <w:tcPr>
            <w:tcW w:w="1443" w:type="dxa"/>
          </w:tcPr>
          <w:p w14:paraId="2E8D738C" w14:textId="77777777" w:rsidR="004C7B8C" w:rsidRPr="004C7B8C" w:rsidRDefault="004C7B8C" w:rsidP="004C7B8C">
            <w:pPr>
              <w:spacing w:after="160"/>
            </w:pPr>
            <w:r w:rsidRPr="004C7B8C">
              <w:t>51.6</w:t>
            </w:r>
          </w:p>
        </w:tc>
        <w:tc>
          <w:tcPr>
            <w:tcW w:w="1185" w:type="dxa"/>
          </w:tcPr>
          <w:p w14:paraId="0396891F" w14:textId="77777777" w:rsidR="004C7B8C" w:rsidRPr="004C7B8C" w:rsidRDefault="004C7B8C" w:rsidP="004C7B8C">
            <w:pPr>
              <w:spacing w:after="160"/>
            </w:pPr>
            <w:r w:rsidRPr="004C7B8C">
              <w:t>39.6</w:t>
            </w:r>
          </w:p>
        </w:tc>
        <w:tc>
          <w:tcPr>
            <w:tcW w:w="1443" w:type="dxa"/>
          </w:tcPr>
          <w:p w14:paraId="411713C6" w14:textId="77777777" w:rsidR="004C7B8C" w:rsidRPr="004C7B8C" w:rsidRDefault="004C7B8C" w:rsidP="004C7B8C">
            <w:pPr>
              <w:spacing w:after="160"/>
            </w:pPr>
            <w:r w:rsidRPr="004C7B8C">
              <w:t>n.a.</w:t>
            </w:r>
          </w:p>
        </w:tc>
        <w:tc>
          <w:tcPr>
            <w:tcW w:w="913" w:type="dxa"/>
          </w:tcPr>
          <w:p w14:paraId="2D5E5E89" w14:textId="77777777" w:rsidR="004C7B8C" w:rsidRPr="004C7B8C" w:rsidRDefault="004C7B8C" w:rsidP="004C7B8C">
            <w:pPr>
              <w:spacing w:after="160"/>
            </w:pPr>
            <w:r w:rsidRPr="004C7B8C">
              <w:t>594</w:t>
            </w:r>
          </w:p>
        </w:tc>
        <w:tc>
          <w:tcPr>
            <w:tcW w:w="1742" w:type="dxa"/>
          </w:tcPr>
          <w:p w14:paraId="185D6BD0" w14:textId="77777777" w:rsidR="004C7B8C" w:rsidRPr="004C7B8C" w:rsidRDefault="004C7B8C" w:rsidP="004C7B8C">
            <w:pPr>
              <w:spacing w:after="160"/>
            </w:pPr>
            <w:r w:rsidRPr="004C7B8C">
              <w:t>6.0</w:t>
            </w:r>
          </w:p>
        </w:tc>
        <w:tc>
          <w:tcPr>
            <w:tcW w:w="1352" w:type="dxa"/>
          </w:tcPr>
          <w:p w14:paraId="52FDCD53" w14:textId="77777777" w:rsidR="004C7B8C" w:rsidRPr="004C7B8C" w:rsidRDefault="004C7B8C" w:rsidP="004C7B8C">
            <w:pPr>
              <w:spacing w:after="160"/>
            </w:pPr>
            <w:r w:rsidRPr="004C7B8C">
              <w:t>72.0</w:t>
            </w:r>
          </w:p>
        </w:tc>
      </w:tr>
      <w:tr w:rsidR="005A21B6" w:rsidRPr="004C7B8C" w14:paraId="4CA80C5A" w14:textId="77777777" w:rsidTr="005A21B6">
        <w:trPr>
          <w:trHeight w:val="1228"/>
        </w:trPr>
        <w:tc>
          <w:tcPr>
            <w:tcW w:w="1565" w:type="dxa"/>
          </w:tcPr>
          <w:p w14:paraId="2FEE866C" w14:textId="77777777" w:rsidR="004C7B8C" w:rsidRPr="004C7B8C" w:rsidRDefault="004C7B8C" w:rsidP="004C7B8C">
            <w:pPr>
              <w:spacing w:after="160"/>
            </w:pPr>
            <w:r w:rsidRPr="004C7B8C">
              <w:t>Mexico (2009)</w:t>
            </w:r>
          </w:p>
          <w:p w14:paraId="6CA7AB3B" w14:textId="77777777" w:rsidR="004C7B8C" w:rsidRPr="004C7B8C" w:rsidRDefault="004C7B8C" w:rsidP="004C7B8C">
            <w:pPr>
              <w:spacing w:after="160"/>
            </w:pPr>
          </w:p>
        </w:tc>
        <w:tc>
          <w:tcPr>
            <w:tcW w:w="1443" w:type="dxa"/>
          </w:tcPr>
          <w:p w14:paraId="7760FA01" w14:textId="77777777" w:rsidR="004C7B8C" w:rsidRPr="004C7B8C" w:rsidRDefault="004C7B8C" w:rsidP="004C7B8C">
            <w:pPr>
              <w:spacing w:after="160"/>
            </w:pPr>
            <w:r w:rsidRPr="004C7B8C">
              <w:t>53.7</w:t>
            </w:r>
          </w:p>
        </w:tc>
        <w:tc>
          <w:tcPr>
            <w:tcW w:w="1185" w:type="dxa"/>
          </w:tcPr>
          <w:p w14:paraId="5E63F711" w14:textId="77777777" w:rsidR="004C7B8C" w:rsidRPr="004C7B8C" w:rsidRDefault="004C7B8C" w:rsidP="004C7B8C">
            <w:pPr>
              <w:spacing w:after="160"/>
            </w:pPr>
            <w:r w:rsidRPr="004C7B8C">
              <w:t>34.1</w:t>
            </w:r>
          </w:p>
        </w:tc>
        <w:tc>
          <w:tcPr>
            <w:tcW w:w="1443" w:type="dxa"/>
          </w:tcPr>
          <w:p w14:paraId="3C0A2702" w14:textId="77777777" w:rsidR="004C7B8C" w:rsidRPr="004C7B8C" w:rsidRDefault="004C7B8C" w:rsidP="004C7B8C">
            <w:pPr>
              <w:spacing w:after="160"/>
            </w:pPr>
            <w:r w:rsidRPr="004C7B8C">
              <w:t>20.2</w:t>
            </w:r>
          </w:p>
        </w:tc>
        <w:tc>
          <w:tcPr>
            <w:tcW w:w="913" w:type="dxa"/>
          </w:tcPr>
          <w:p w14:paraId="6C875DC7" w14:textId="77777777" w:rsidR="004C7B8C" w:rsidRPr="004C7B8C" w:rsidRDefault="004C7B8C" w:rsidP="004C7B8C">
            <w:pPr>
              <w:spacing w:after="160"/>
            </w:pPr>
            <w:r w:rsidRPr="004C7B8C">
              <w:t>9566</w:t>
            </w:r>
          </w:p>
        </w:tc>
        <w:tc>
          <w:tcPr>
            <w:tcW w:w="1742" w:type="dxa"/>
          </w:tcPr>
          <w:p w14:paraId="20258445" w14:textId="77777777" w:rsidR="004C7B8C" w:rsidRPr="004C7B8C" w:rsidRDefault="004C7B8C" w:rsidP="004C7B8C">
            <w:pPr>
              <w:spacing w:after="160"/>
            </w:pPr>
            <w:r w:rsidRPr="004C7B8C">
              <w:t>5.5</w:t>
            </w:r>
          </w:p>
        </w:tc>
        <w:tc>
          <w:tcPr>
            <w:tcW w:w="1352" w:type="dxa"/>
          </w:tcPr>
          <w:p w14:paraId="5A5010F9" w14:textId="77777777" w:rsidR="004C7B8C" w:rsidRPr="004C7B8C" w:rsidRDefault="004C7B8C" w:rsidP="004C7B8C">
            <w:pPr>
              <w:spacing w:after="160"/>
            </w:pPr>
            <w:r w:rsidRPr="004C7B8C">
              <w:t>47.4</w:t>
            </w:r>
          </w:p>
        </w:tc>
      </w:tr>
      <w:tr w:rsidR="005A21B6" w:rsidRPr="004C7B8C" w14:paraId="06BFA380" w14:textId="77777777" w:rsidTr="005A21B6">
        <w:trPr>
          <w:trHeight w:val="765"/>
        </w:trPr>
        <w:tc>
          <w:tcPr>
            <w:tcW w:w="1565" w:type="dxa"/>
          </w:tcPr>
          <w:p w14:paraId="65EEC81D" w14:textId="77777777" w:rsidR="004C7B8C" w:rsidRPr="004C7B8C" w:rsidRDefault="004C7B8C" w:rsidP="004C7B8C">
            <w:pPr>
              <w:spacing w:after="160"/>
            </w:pPr>
            <w:r w:rsidRPr="004C7B8C">
              <w:t>Argentina (2009)</w:t>
            </w:r>
          </w:p>
        </w:tc>
        <w:tc>
          <w:tcPr>
            <w:tcW w:w="1443" w:type="dxa"/>
          </w:tcPr>
          <w:p w14:paraId="147FDE33" w14:textId="77777777" w:rsidR="004C7B8C" w:rsidRPr="004C7B8C" w:rsidRDefault="004C7B8C" w:rsidP="004C7B8C">
            <w:pPr>
              <w:spacing w:after="160"/>
            </w:pPr>
            <w:r w:rsidRPr="004C7B8C">
              <w:t>49.7</w:t>
            </w:r>
          </w:p>
        </w:tc>
        <w:tc>
          <w:tcPr>
            <w:tcW w:w="1185" w:type="dxa"/>
          </w:tcPr>
          <w:p w14:paraId="087BFFF4" w14:textId="77777777" w:rsidR="004C7B8C" w:rsidRPr="004C7B8C" w:rsidRDefault="004C7B8C" w:rsidP="004C7B8C">
            <w:pPr>
              <w:spacing w:after="160"/>
            </w:pPr>
            <w:r w:rsidRPr="004C7B8C">
              <w:t>32.1</w:t>
            </w:r>
          </w:p>
        </w:tc>
        <w:tc>
          <w:tcPr>
            <w:tcW w:w="1443" w:type="dxa"/>
          </w:tcPr>
          <w:p w14:paraId="1816FAAD" w14:textId="77777777" w:rsidR="004C7B8C" w:rsidRPr="004C7B8C" w:rsidRDefault="004C7B8C" w:rsidP="004C7B8C">
            <w:pPr>
              <w:spacing w:after="160"/>
            </w:pPr>
            <w:r w:rsidRPr="004C7B8C">
              <w:t>17.9</w:t>
            </w:r>
          </w:p>
        </w:tc>
        <w:tc>
          <w:tcPr>
            <w:tcW w:w="913" w:type="dxa"/>
          </w:tcPr>
          <w:p w14:paraId="449B79D1" w14:textId="77777777" w:rsidR="004C7B8C" w:rsidRPr="004C7B8C" w:rsidRDefault="004C7B8C" w:rsidP="004C7B8C">
            <w:pPr>
              <w:spacing w:after="160"/>
            </w:pPr>
            <w:r w:rsidRPr="004C7B8C">
              <w:t>9138</w:t>
            </w:r>
          </w:p>
        </w:tc>
        <w:tc>
          <w:tcPr>
            <w:tcW w:w="1742" w:type="dxa"/>
          </w:tcPr>
          <w:p w14:paraId="1B9D1EE5" w14:textId="77777777" w:rsidR="004C7B8C" w:rsidRPr="004C7B8C" w:rsidRDefault="004C7B8C" w:rsidP="004C7B8C">
            <w:pPr>
              <w:spacing w:after="160"/>
            </w:pPr>
            <w:r w:rsidRPr="004C7B8C">
              <w:t>7.7</w:t>
            </w:r>
          </w:p>
        </w:tc>
        <w:tc>
          <w:tcPr>
            <w:tcW w:w="1352" w:type="dxa"/>
          </w:tcPr>
          <w:p w14:paraId="75B6F41B" w14:textId="77777777" w:rsidR="004C7B8C" w:rsidRPr="004C7B8C" w:rsidRDefault="004C7B8C" w:rsidP="004C7B8C">
            <w:pPr>
              <w:spacing w:after="160"/>
            </w:pPr>
            <w:r w:rsidRPr="004C7B8C">
              <w:t>n.a.</w:t>
            </w:r>
          </w:p>
        </w:tc>
      </w:tr>
      <w:tr w:rsidR="005A21B6" w:rsidRPr="004C7B8C" w14:paraId="4A57111D" w14:textId="77777777" w:rsidTr="005A21B6">
        <w:trPr>
          <w:trHeight w:val="751"/>
        </w:trPr>
        <w:tc>
          <w:tcPr>
            <w:tcW w:w="1565" w:type="dxa"/>
          </w:tcPr>
          <w:p w14:paraId="00F02A5D" w14:textId="77777777" w:rsidR="004C7B8C" w:rsidRPr="004C7B8C" w:rsidRDefault="004C7B8C" w:rsidP="004C7B8C">
            <w:pPr>
              <w:spacing w:after="160"/>
            </w:pPr>
            <w:r w:rsidRPr="004C7B8C">
              <w:t>Brazil  (2009)</w:t>
            </w:r>
          </w:p>
        </w:tc>
        <w:tc>
          <w:tcPr>
            <w:tcW w:w="1443" w:type="dxa"/>
          </w:tcPr>
          <w:p w14:paraId="1895E27E" w14:textId="77777777" w:rsidR="004C7B8C" w:rsidRPr="004C7B8C" w:rsidRDefault="004C7B8C" w:rsidP="004C7B8C">
            <w:pPr>
              <w:spacing w:after="160"/>
            </w:pPr>
            <w:r w:rsidRPr="004C7B8C">
              <w:t>42.2</w:t>
            </w:r>
          </w:p>
        </w:tc>
        <w:tc>
          <w:tcPr>
            <w:tcW w:w="1185" w:type="dxa"/>
          </w:tcPr>
          <w:p w14:paraId="491EB1CC" w14:textId="77777777" w:rsidR="004C7B8C" w:rsidRPr="004C7B8C" w:rsidRDefault="004C7B8C" w:rsidP="004C7B8C">
            <w:pPr>
              <w:spacing w:after="160"/>
            </w:pPr>
            <w:r w:rsidRPr="004C7B8C">
              <w:t>24.3</w:t>
            </w:r>
          </w:p>
        </w:tc>
        <w:tc>
          <w:tcPr>
            <w:tcW w:w="1443" w:type="dxa"/>
          </w:tcPr>
          <w:p w14:paraId="3997C307" w14:textId="77777777" w:rsidR="004C7B8C" w:rsidRPr="004C7B8C" w:rsidRDefault="004C7B8C" w:rsidP="004C7B8C">
            <w:pPr>
              <w:spacing w:after="160"/>
            </w:pPr>
            <w:r w:rsidRPr="004C7B8C">
              <w:t>18.0</w:t>
            </w:r>
          </w:p>
        </w:tc>
        <w:tc>
          <w:tcPr>
            <w:tcW w:w="913" w:type="dxa"/>
          </w:tcPr>
          <w:p w14:paraId="0E21B285" w14:textId="77777777" w:rsidR="004C7B8C" w:rsidRPr="004C7B8C" w:rsidRDefault="004C7B8C" w:rsidP="004C7B8C">
            <w:pPr>
              <w:spacing w:after="160"/>
            </w:pPr>
            <w:r w:rsidRPr="004C7B8C">
              <w:t>10,816</w:t>
            </w:r>
          </w:p>
        </w:tc>
        <w:tc>
          <w:tcPr>
            <w:tcW w:w="1742" w:type="dxa"/>
          </w:tcPr>
          <w:p w14:paraId="3DCA5D07" w14:textId="77777777" w:rsidR="004C7B8C" w:rsidRPr="004C7B8C" w:rsidRDefault="004C7B8C" w:rsidP="004C7B8C">
            <w:pPr>
              <w:spacing w:after="160"/>
            </w:pPr>
            <w:r w:rsidRPr="004C7B8C">
              <w:t>7.1</w:t>
            </w:r>
          </w:p>
        </w:tc>
        <w:tc>
          <w:tcPr>
            <w:tcW w:w="1352" w:type="dxa"/>
          </w:tcPr>
          <w:p w14:paraId="175F9EAD" w14:textId="77777777" w:rsidR="004C7B8C" w:rsidRPr="004C7B8C" w:rsidRDefault="004C7B8C" w:rsidP="004C7B8C">
            <w:pPr>
              <w:spacing w:after="160"/>
            </w:pPr>
            <w:r w:rsidRPr="004C7B8C">
              <w:t>21.4</w:t>
            </w:r>
          </w:p>
        </w:tc>
      </w:tr>
      <w:tr w:rsidR="005A21B6" w:rsidRPr="004C7B8C" w14:paraId="10380984" w14:textId="77777777" w:rsidTr="005A21B6">
        <w:trPr>
          <w:trHeight w:val="751"/>
        </w:trPr>
        <w:tc>
          <w:tcPr>
            <w:tcW w:w="1565" w:type="dxa"/>
          </w:tcPr>
          <w:p w14:paraId="09385D34" w14:textId="77777777" w:rsidR="004C7B8C" w:rsidRPr="004C7B8C" w:rsidRDefault="004C7B8C" w:rsidP="004C7B8C">
            <w:pPr>
              <w:spacing w:after="160"/>
            </w:pPr>
            <w:r w:rsidRPr="004C7B8C">
              <w:t>Turkey (2009)</w:t>
            </w:r>
          </w:p>
        </w:tc>
        <w:tc>
          <w:tcPr>
            <w:tcW w:w="1443" w:type="dxa"/>
          </w:tcPr>
          <w:p w14:paraId="525C5B4C" w14:textId="77777777" w:rsidR="004C7B8C" w:rsidRPr="004C7B8C" w:rsidRDefault="004C7B8C" w:rsidP="004C7B8C">
            <w:pPr>
              <w:spacing w:after="160"/>
            </w:pPr>
            <w:r w:rsidRPr="004C7B8C">
              <w:t>30.6</w:t>
            </w:r>
          </w:p>
        </w:tc>
        <w:tc>
          <w:tcPr>
            <w:tcW w:w="1185" w:type="dxa"/>
          </w:tcPr>
          <w:p w14:paraId="3C27506C" w14:textId="77777777" w:rsidR="004C7B8C" w:rsidRPr="004C7B8C" w:rsidRDefault="004C7B8C" w:rsidP="004C7B8C">
            <w:pPr>
              <w:spacing w:after="160"/>
            </w:pPr>
            <w:r w:rsidRPr="004C7B8C">
              <w:t>n.a.</w:t>
            </w:r>
          </w:p>
        </w:tc>
        <w:tc>
          <w:tcPr>
            <w:tcW w:w="1443" w:type="dxa"/>
          </w:tcPr>
          <w:p w14:paraId="4B450298" w14:textId="77777777" w:rsidR="004C7B8C" w:rsidRPr="004C7B8C" w:rsidRDefault="004C7B8C" w:rsidP="004C7B8C">
            <w:pPr>
              <w:spacing w:after="160"/>
            </w:pPr>
            <w:r w:rsidRPr="004C7B8C">
              <w:t>n.a.</w:t>
            </w:r>
          </w:p>
        </w:tc>
        <w:tc>
          <w:tcPr>
            <w:tcW w:w="913" w:type="dxa"/>
          </w:tcPr>
          <w:p w14:paraId="31816660" w14:textId="77777777" w:rsidR="004C7B8C" w:rsidRPr="004C7B8C" w:rsidRDefault="004C7B8C" w:rsidP="004C7B8C">
            <w:pPr>
              <w:spacing w:after="160"/>
            </w:pPr>
            <w:r w:rsidRPr="004C7B8C">
              <w:t>10,399</w:t>
            </w:r>
          </w:p>
        </w:tc>
        <w:tc>
          <w:tcPr>
            <w:tcW w:w="1742" w:type="dxa"/>
          </w:tcPr>
          <w:p w14:paraId="4C412C98" w14:textId="77777777" w:rsidR="004C7B8C" w:rsidRPr="004C7B8C" w:rsidRDefault="004C7B8C" w:rsidP="004C7B8C">
            <w:pPr>
              <w:spacing w:after="160"/>
            </w:pPr>
            <w:r w:rsidRPr="004C7B8C">
              <w:t>11.9</w:t>
            </w:r>
          </w:p>
        </w:tc>
        <w:tc>
          <w:tcPr>
            <w:tcW w:w="1352" w:type="dxa"/>
          </w:tcPr>
          <w:p w14:paraId="7B589423" w14:textId="77777777" w:rsidR="004C7B8C" w:rsidRPr="004C7B8C" w:rsidRDefault="004C7B8C" w:rsidP="004C7B8C">
            <w:pPr>
              <w:spacing w:after="160"/>
            </w:pPr>
            <w:r w:rsidRPr="004C7B8C">
              <w:t>18.1</w:t>
            </w:r>
          </w:p>
        </w:tc>
      </w:tr>
      <w:tr w:rsidR="005A21B6" w:rsidRPr="004C7B8C" w14:paraId="076C8D5A" w14:textId="77777777" w:rsidTr="005A21B6">
        <w:trPr>
          <w:trHeight w:val="751"/>
        </w:trPr>
        <w:tc>
          <w:tcPr>
            <w:tcW w:w="1565" w:type="dxa"/>
          </w:tcPr>
          <w:p w14:paraId="50D1B7BD" w14:textId="77777777" w:rsidR="004C7B8C" w:rsidRPr="004C7B8C" w:rsidRDefault="004C7B8C" w:rsidP="004C7B8C">
            <w:pPr>
              <w:spacing w:after="160"/>
            </w:pPr>
            <w:r w:rsidRPr="004C7B8C">
              <w:t>Venezuela (2009)</w:t>
            </w:r>
          </w:p>
        </w:tc>
        <w:tc>
          <w:tcPr>
            <w:tcW w:w="1443" w:type="dxa"/>
          </w:tcPr>
          <w:p w14:paraId="18829CA3" w14:textId="77777777" w:rsidR="004C7B8C" w:rsidRPr="004C7B8C" w:rsidRDefault="004C7B8C" w:rsidP="004C7B8C">
            <w:pPr>
              <w:spacing w:after="160"/>
            </w:pPr>
            <w:r w:rsidRPr="004C7B8C">
              <w:t>47.5</w:t>
            </w:r>
          </w:p>
        </w:tc>
        <w:tc>
          <w:tcPr>
            <w:tcW w:w="1185" w:type="dxa"/>
          </w:tcPr>
          <w:p w14:paraId="65BFDDEC" w14:textId="77777777" w:rsidR="004C7B8C" w:rsidRPr="004C7B8C" w:rsidRDefault="004C7B8C" w:rsidP="004C7B8C">
            <w:pPr>
              <w:spacing w:after="160"/>
            </w:pPr>
            <w:r w:rsidRPr="004C7B8C">
              <w:t>36.3</w:t>
            </w:r>
          </w:p>
        </w:tc>
        <w:tc>
          <w:tcPr>
            <w:tcW w:w="1443" w:type="dxa"/>
          </w:tcPr>
          <w:p w14:paraId="0CB1963B" w14:textId="77777777" w:rsidR="004C7B8C" w:rsidRPr="004C7B8C" w:rsidRDefault="004C7B8C" w:rsidP="004C7B8C">
            <w:pPr>
              <w:spacing w:after="160"/>
            </w:pPr>
            <w:r w:rsidRPr="004C7B8C">
              <w:t>11.8</w:t>
            </w:r>
          </w:p>
        </w:tc>
        <w:tc>
          <w:tcPr>
            <w:tcW w:w="913" w:type="dxa"/>
          </w:tcPr>
          <w:p w14:paraId="13DD13B4" w14:textId="77777777" w:rsidR="004C7B8C" w:rsidRPr="004C7B8C" w:rsidRDefault="004C7B8C" w:rsidP="004C7B8C">
            <w:pPr>
              <w:spacing w:after="160"/>
            </w:pPr>
            <w:r w:rsidRPr="004C7B8C">
              <w:t>9960</w:t>
            </w:r>
          </w:p>
        </w:tc>
        <w:tc>
          <w:tcPr>
            <w:tcW w:w="1742" w:type="dxa"/>
          </w:tcPr>
          <w:p w14:paraId="234991B2" w14:textId="77777777" w:rsidR="004C7B8C" w:rsidRPr="004C7B8C" w:rsidRDefault="004C7B8C" w:rsidP="004C7B8C">
            <w:pPr>
              <w:spacing w:after="160"/>
            </w:pPr>
            <w:r w:rsidRPr="004C7B8C">
              <w:t>8.5</w:t>
            </w:r>
          </w:p>
        </w:tc>
        <w:tc>
          <w:tcPr>
            <w:tcW w:w="1352" w:type="dxa"/>
          </w:tcPr>
          <w:p w14:paraId="58672112" w14:textId="77777777" w:rsidR="004C7B8C" w:rsidRPr="004C7B8C" w:rsidRDefault="004C7B8C" w:rsidP="004C7B8C">
            <w:pPr>
              <w:spacing w:after="160"/>
            </w:pPr>
            <w:r w:rsidRPr="004C7B8C">
              <w:t>29.0</w:t>
            </w:r>
          </w:p>
        </w:tc>
      </w:tr>
      <w:tr w:rsidR="005A21B6" w:rsidRPr="004C7B8C" w14:paraId="3A315575" w14:textId="77777777" w:rsidTr="005A21B6">
        <w:trPr>
          <w:trHeight w:val="751"/>
        </w:trPr>
        <w:tc>
          <w:tcPr>
            <w:tcW w:w="1565" w:type="dxa"/>
          </w:tcPr>
          <w:p w14:paraId="6A77790E" w14:textId="77777777" w:rsidR="004C7B8C" w:rsidRPr="004C7B8C" w:rsidRDefault="004C7B8C" w:rsidP="004C7B8C">
            <w:pPr>
              <w:spacing w:after="160"/>
            </w:pPr>
            <w:r w:rsidRPr="004C7B8C">
              <w:t>Indonesia (2009)</w:t>
            </w:r>
          </w:p>
        </w:tc>
        <w:tc>
          <w:tcPr>
            <w:tcW w:w="1443" w:type="dxa"/>
          </w:tcPr>
          <w:p w14:paraId="046BF33E" w14:textId="77777777" w:rsidR="004C7B8C" w:rsidRPr="004C7B8C" w:rsidRDefault="004C7B8C" w:rsidP="004C7B8C">
            <w:pPr>
              <w:spacing w:after="160"/>
            </w:pPr>
            <w:r w:rsidRPr="004C7B8C">
              <w:t>72.5</w:t>
            </w:r>
          </w:p>
        </w:tc>
        <w:tc>
          <w:tcPr>
            <w:tcW w:w="1185" w:type="dxa"/>
          </w:tcPr>
          <w:p w14:paraId="3C5F4D3E" w14:textId="77777777" w:rsidR="004C7B8C" w:rsidRPr="004C7B8C" w:rsidRDefault="004C7B8C" w:rsidP="004C7B8C">
            <w:pPr>
              <w:spacing w:after="160"/>
            </w:pPr>
            <w:r w:rsidRPr="004C7B8C">
              <w:t>60.2</w:t>
            </w:r>
          </w:p>
        </w:tc>
        <w:tc>
          <w:tcPr>
            <w:tcW w:w="1443" w:type="dxa"/>
          </w:tcPr>
          <w:p w14:paraId="2F231473" w14:textId="77777777" w:rsidR="004C7B8C" w:rsidRPr="004C7B8C" w:rsidRDefault="004C7B8C" w:rsidP="004C7B8C">
            <w:pPr>
              <w:spacing w:after="160"/>
            </w:pPr>
            <w:r w:rsidRPr="004C7B8C">
              <w:t>12.2</w:t>
            </w:r>
          </w:p>
        </w:tc>
        <w:tc>
          <w:tcPr>
            <w:tcW w:w="913" w:type="dxa"/>
          </w:tcPr>
          <w:p w14:paraId="6FD439D8" w14:textId="77777777" w:rsidR="004C7B8C" w:rsidRPr="004C7B8C" w:rsidRDefault="004C7B8C" w:rsidP="004C7B8C">
            <w:pPr>
              <w:spacing w:after="160"/>
            </w:pPr>
            <w:r w:rsidRPr="004C7B8C">
              <w:t>3015</w:t>
            </w:r>
          </w:p>
        </w:tc>
        <w:tc>
          <w:tcPr>
            <w:tcW w:w="1742" w:type="dxa"/>
          </w:tcPr>
          <w:p w14:paraId="3BBC0AE8" w14:textId="77777777" w:rsidR="004C7B8C" w:rsidRPr="004C7B8C" w:rsidRDefault="004C7B8C" w:rsidP="004C7B8C">
            <w:pPr>
              <w:spacing w:after="160"/>
            </w:pPr>
            <w:r w:rsidRPr="004C7B8C">
              <w:t>7.3</w:t>
            </w:r>
          </w:p>
        </w:tc>
        <w:tc>
          <w:tcPr>
            <w:tcW w:w="1352" w:type="dxa"/>
          </w:tcPr>
          <w:p w14:paraId="37FB2E70" w14:textId="77777777" w:rsidR="004C7B8C" w:rsidRPr="004C7B8C" w:rsidRDefault="004C7B8C" w:rsidP="004C7B8C">
            <w:pPr>
              <w:spacing w:after="160"/>
            </w:pPr>
            <w:r w:rsidRPr="004C7B8C">
              <w:t>13.3</w:t>
            </w:r>
          </w:p>
        </w:tc>
      </w:tr>
      <w:tr w:rsidR="005A21B6" w:rsidRPr="004C7B8C" w14:paraId="697462FC" w14:textId="77777777" w:rsidTr="005A21B6">
        <w:trPr>
          <w:trHeight w:val="765"/>
        </w:trPr>
        <w:tc>
          <w:tcPr>
            <w:tcW w:w="1565" w:type="dxa"/>
          </w:tcPr>
          <w:p w14:paraId="11A82A05" w14:textId="77777777" w:rsidR="004C7B8C" w:rsidRPr="004C7B8C" w:rsidRDefault="004C7B8C" w:rsidP="004C7B8C">
            <w:pPr>
              <w:spacing w:after="160"/>
            </w:pPr>
            <w:r w:rsidRPr="004C7B8C">
              <w:t>South Africa (2010)</w:t>
            </w:r>
          </w:p>
        </w:tc>
        <w:tc>
          <w:tcPr>
            <w:tcW w:w="1443" w:type="dxa"/>
          </w:tcPr>
          <w:p w14:paraId="7B60C459" w14:textId="77777777" w:rsidR="004C7B8C" w:rsidRPr="004C7B8C" w:rsidRDefault="004C7B8C" w:rsidP="004C7B8C">
            <w:pPr>
              <w:spacing w:after="160"/>
            </w:pPr>
            <w:r w:rsidRPr="004C7B8C">
              <w:t>32.7</w:t>
            </w:r>
          </w:p>
        </w:tc>
        <w:tc>
          <w:tcPr>
            <w:tcW w:w="1185" w:type="dxa"/>
          </w:tcPr>
          <w:p w14:paraId="4A5995EC" w14:textId="77777777" w:rsidR="004C7B8C" w:rsidRPr="004C7B8C" w:rsidRDefault="004C7B8C" w:rsidP="004C7B8C">
            <w:pPr>
              <w:spacing w:after="160"/>
            </w:pPr>
            <w:r w:rsidRPr="004C7B8C">
              <w:t>17.8</w:t>
            </w:r>
          </w:p>
        </w:tc>
        <w:tc>
          <w:tcPr>
            <w:tcW w:w="1443" w:type="dxa"/>
          </w:tcPr>
          <w:p w14:paraId="69D967DB" w14:textId="77777777" w:rsidR="004C7B8C" w:rsidRPr="004C7B8C" w:rsidRDefault="004C7B8C" w:rsidP="004C7B8C">
            <w:pPr>
              <w:spacing w:after="160"/>
            </w:pPr>
            <w:r w:rsidRPr="004C7B8C">
              <w:t>14.9</w:t>
            </w:r>
          </w:p>
        </w:tc>
        <w:tc>
          <w:tcPr>
            <w:tcW w:w="913" w:type="dxa"/>
          </w:tcPr>
          <w:p w14:paraId="547236B1" w14:textId="77777777" w:rsidR="004C7B8C" w:rsidRPr="004C7B8C" w:rsidRDefault="004C7B8C" w:rsidP="004C7B8C">
            <w:pPr>
              <w:spacing w:after="160"/>
            </w:pPr>
            <w:r w:rsidRPr="004C7B8C">
              <w:t>7158</w:t>
            </w:r>
          </w:p>
        </w:tc>
        <w:tc>
          <w:tcPr>
            <w:tcW w:w="1742" w:type="dxa"/>
          </w:tcPr>
          <w:p w14:paraId="3CA900FD" w14:textId="77777777" w:rsidR="004C7B8C" w:rsidRPr="004C7B8C" w:rsidRDefault="004C7B8C" w:rsidP="004C7B8C">
            <w:pPr>
              <w:spacing w:after="160"/>
            </w:pPr>
            <w:r w:rsidRPr="004C7B8C">
              <w:t>24.9</w:t>
            </w:r>
          </w:p>
        </w:tc>
        <w:tc>
          <w:tcPr>
            <w:tcW w:w="1352" w:type="dxa"/>
          </w:tcPr>
          <w:p w14:paraId="3A97B7D6" w14:textId="77777777" w:rsidR="004C7B8C" w:rsidRPr="004C7B8C" w:rsidRDefault="004C7B8C" w:rsidP="004C7B8C">
            <w:pPr>
              <w:spacing w:after="160"/>
            </w:pPr>
            <w:r w:rsidRPr="004C7B8C">
              <w:t>23.0</w:t>
            </w:r>
          </w:p>
        </w:tc>
      </w:tr>
    </w:tbl>
    <w:p w14:paraId="31063A02" w14:textId="77777777" w:rsidR="004C7B8C" w:rsidRPr="004C7B8C" w:rsidRDefault="004C7B8C" w:rsidP="004C7B8C">
      <w:pPr>
        <w:rPr>
          <w:lang w:val="en-US"/>
        </w:rPr>
      </w:pPr>
      <w:r w:rsidRPr="004C7B8C">
        <w:rPr>
          <w:lang w:val="en-US"/>
        </w:rPr>
        <w:t xml:space="preserve">Source: Statistical Update on Employment in the Informal Economy, ILO, Department of Statistics, June 2012.  </w:t>
      </w:r>
    </w:p>
    <w:p w14:paraId="3887C261" w14:textId="2BF2CD6D" w:rsidR="00B53E49" w:rsidRDefault="004C7B8C" w:rsidP="004C7B8C">
      <w:pPr>
        <w:rPr>
          <w:lang w:val="en-US"/>
        </w:rPr>
      </w:pPr>
      <w:r w:rsidRPr="004C7B8C">
        <w:rPr>
          <w:lang w:val="en-US"/>
        </w:rPr>
        <w:t xml:space="preserve">Research on informal work in the urban context has tended to focus on street vendors, construction workers, domestic workers, rag pickers, street cleaners, and other home-based workers. Our sample of </w:t>
      </w:r>
      <w:r w:rsidR="00B53E49">
        <w:rPr>
          <w:lang w:val="en-US"/>
        </w:rPr>
        <w:t xml:space="preserve">low-wage </w:t>
      </w:r>
      <w:r w:rsidRPr="004C7B8C">
        <w:rPr>
          <w:lang w:val="en-US"/>
        </w:rPr>
        <w:t xml:space="preserve">workers i.e. the drivers, housekeepers and security guards who provide key services to the IT/ITES companies in Pune however do not belong to this group. The workers we interviewed do not fall into the traditional category of informal workers because many have identity cards that tie them to specific vendor or IT/ITES firms, with some experience of formal education. While these workers possess some assets, cultural capital and aspirational values similar to those seen amongst India’s new middle class (Fernandes and Heller, 2006) they do not belong to this group either. </w:t>
      </w:r>
    </w:p>
    <w:p w14:paraId="56EC3E1C" w14:textId="1CBFA3B8" w:rsidR="004C7B8C" w:rsidRPr="004C7B8C" w:rsidRDefault="004C7B8C" w:rsidP="004C7B8C">
      <w:pPr>
        <w:rPr>
          <w:lang w:val="en-US"/>
        </w:rPr>
      </w:pPr>
      <w:r w:rsidRPr="004C7B8C">
        <w:rPr>
          <w:lang w:val="en-US"/>
        </w:rPr>
        <w:t>Many of the drivers, security guards and house keepers in our sample obtained levels of education which are higher than the Indian average, but not high enough to access professional or managerial level jobs which the new middle class professionals like software and IT workers are able to capture. Nevertheless, a number of workers who were rural migrants owned land, thus wielding some power in their villages. Clearly our sample of workers belong to category C in the above table i.e. persons in informal employment outside the informal sector. However the vendors/subcontractors who hired them may be considered as “self employed” workers in the informal economy. It is through the subcontracting networks and attendant experiences of work/workplace we trace in th</w:t>
      </w:r>
      <w:r w:rsidR="00B53E49">
        <w:rPr>
          <w:lang w:val="en-US"/>
        </w:rPr>
        <w:t>e</w:t>
      </w:r>
      <w:r w:rsidRPr="004C7B8C">
        <w:rPr>
          <w:lang w:val="en-US"/>
        </w:rPr>
        <w:t xml:space="preserve"> book that such workers and their vendors are ambiguously tied to both the formal and informal sector in unique ways.</w:t>
      </w:r>
    </w:p>
    <w:p w14:paraId="40179AC7" w14:textId="62E2A011" w:rsidR="004C7B8C" w:rsidRPr="004C7B8C" w:rsidRDefault="004C7B8C" w:rsidP="004C7B8C">
      <w:pPr>
        <w:rPr>
          <w:lang w:val="en-US"/>
        </w:rPr>
      </w:pPr>
      <w:r w:rsidRPr="004C7B8C">
        <w:rPr>
          <w:lang w:val="en-US"/>
        </w:rPr>
        <w:t xml:space="preserve">Thus although our sample of workers do not fit within traditional definitions of informal work in India, neither do they quite belong to the category of formal work. C. P. Chandrashekhar has identified three basic features of formal employment. These include written formal contract, provision of social security (pension) and eligibility for paid leave (Chandrashekhar 2014). Some of the workers we interviewed were promised providend fund and pensions but these were not well implemented or available universally. Very few reported having written contracts and no one reported any provision for paid leave. The National Sample Survey (NSS) of India also recognizes method of payment as a criteria for defining casual workers. Most casual workers are paid in cash on piece meal basis. </w:t>
      </w:r>
      <w:r w:rsidR="007B2C3E">
        <w:rPr>
          <w:lang w:val="en-US"/>
        </w:rPr>
        <w:t xml:space="preserve">Not all the </w:t>
      </w:r>
      <w:r w:rsidRPr="004C7B8C">
        <w:rPr>
          <w:lang w:val="en-US"/>
        </w:rPr>
        <w:t>ser</w:t>
      </w:r>
      <w:r w:rsidR="007B2C3E">
        <w:rPr>
          <w:lang w:val="en-US"/>
        </w:rPr>
        <w:t xml:space="preserve">vice workers we interviewed had bank accounts and some were paid in cash.  </w:t>
      </w:r>
    </w:p>
    <w:p w14:paraId="64999FA1" w14:textId="1FE66DB4" w:rsidR="004C7B8C" w:rsidRPr="004C7B8C" w:rsidRDefault="004C7B8C" w:rsidP="004C7B8C">
      <w:pPr>
        <w:rPr>
          <w:lang w:val="en-US"/>
        </w:rPr>
      </w:pPr>
      <w:r w:rsidRPr="004C7B8C">
        <w:rPr>
          <w:lang w:val="en-US"/>
        </w:rPr>
        <w:t xml:space="preserve">Informal workers consist of about 92 % of total workers in India and around half the formal sector workers are informal workers. This implies there is increasing numbers of workers who are engaged in casual, temporary and contract labor (Naik 2009). This trend is not new and is indeed similar across the globe with the rise of neoliberalism since the 1970s and 1980s. NSS estimates that 93 % of non-agricultural sector workers are informal workers. 98 % of these are urban and 89 % rural. The majority i.e. 73 %  of urban workers in India in the informal sector are employed in manufacturing, construction, wholesale and retail trade and transportation and storage (NSS, 2014). </w:t>
      </w:r>
    </w:p>
    <w:p w14:paraId="1E2AE241" w14:textId="1709AF2E" w:rsidR="004C7B8C" w:rsidRPr="004C7B8C" w:rsidRDefault="004C7B8C" w:rsidP="004C7B8C">
      <w:pPr>
        <w:rPr>
          <w:lang w:val="en-US"/>
        </w:rPr>
      </w:pPr>
      <w:r w:rsidRPr="004C7B8C">
        <w:rPr>
          <w:lang w:val="en-US"/>
        </w:rPr>
        <w:t>According to the National Industrial Classification (2008) our sample of workers belong to the following industry group/division within the broader industry group of non-agricultural sector in India:</w:t>
      </w:r>
    </w:p>
    <w:tbl>
      <w:tblPr>
        <w:tblW w:w="8460" w:type="dxa"/>
        <w:tblInd w:w="18" w:type="dxa"/>
        <w:tblLayout w:type="fixed"/>
        <w:tblLook w:val="04A0" w:firstRow="1" w:lastRow="0" w:firstColumn="1" w:lastColumn="0" w:noHBand="0" w:noVBand="1"/>
      </w:tblPr>
      <w:tblGrid>
        <w:gridCol w:w="1530"/>
        <w:gridCol w:w="1710"/>
        <w:gridCol w:w="2530"/>
        <w:gridCol w:w="868"/>
        <w:gridCol w:w="866"/>
        <w:gridCol w:w="956"/>
      </w:tblGrid>
      <w:tr w:rsidR="004C7B8C" w:rsidRPr="004C7B8C" w14:paraId="30FA5D7E" w14:textId="77777777" w:rsidTr="005A21B6">
        <w:trPr>
          <w:trHeight w:val="311"/>
        </w:trPr>
        <w:tc>
          <w:tcPr>
            <w:tcW w:w="1530" w:type="dxa"/>
            <w:tcBorders>
              <w:top w:val="single" w:sz="8" w:space="0" w:color="auto"/>
              <w:left w:val="single" w:sz="8" w:space="0" w:color="auto"/>
              <w:bottom w:val="nil"/>
              <w:right w:val="single" w:sz="8" w:space="0" w:color="auto"/>
            </w:tcBorders>
            <w:shd w:val="clear" w:color="auto" w:fill="auto"/>
            <w:noWrap/>
            <w:vAlign w:val="bottom"/>
            <w:hideMark/>
          </w:tcPr>
          <w:p w14:paraId="6E368A61" w14:textId="77777777" w:rsidR="004C7B8C" w:rsidRPr="004C7B8C" w:rsidRDefault="004C7B8C" w:rsidP="004C7B8C">
            <w:pPr>
              <w:rPr>
                <w:lang w:val="en-US"/>
              </w:rPr>
            </w:pPr>
            <w:r w:rsidRPr="004C7B8C">
              <w:rPr>
                <w:lang w:val="en-US"/>
              </w:rPr>
              <w:t>Auxiliary Workers</w:t>
            </w:r>
          </w:p>
        </w:tc>
        <w:tc>
          <w:tcPr>
            <w:tcW w:w="4240" w:type="dxa"/>
            <w:gridSpan w:val="2"/>
            <w:tcBorders>
              <w:top w:val="single" w:sz="8" w:space="0" w:color="auto"/>
              <w:left w:val="nil"/>
              <w:bottom w:val="nil"/>
              <w:right w:val="single" w:sz="8" w:space="0" w:color="000000"/>
            </w:tcBorders>
            <w:shd w:val="clear" w:color="auto" w:fill="auto"/>
            <w:noWrap/>
            <w:vAlign w:val="bottom"/>
            <w:hideMark/>
          </w:tcPr>
          <w:p w14:paraId="3D678B42" w14:textId="77777777" w:rsidR="004C7B8C" w:rsidRPr="004C7B8C" w:rsidRDefault="004C7B8C" w:rsidP="004C7B8C">
            <w:pPr>
              <w:rPr>
                <w:lang w:val="en-US"/>
              </w:rPr>
            </w:pPr>
            <w:r w:rsidRPr="004C7B8C">
              <w:rPr>
                <w:lang w:val="en-US"/>
              </w:rPr>
              <w:t>Industry Group/Division</w:t>
            </w:r>
          </w:p>
        </w:tc>
        <w:tc>
          <w:tcPr>
            <w:tcW w:w="2690" w:type="dxa"/>
            <w:gridSpan w:val="3"/>
            <w:tcBorders>
              <w:top w:val="single" w:sz="8" w:space="0" w:color="auto"/>
              <w:left w:val="nil"/>
              <w:bottom w:val="nil"/>
              <w:right w:val="single" w:sz="8" w:space="0" w:color="000000"/>
            </w:tcBorders>
            <w:shd w:val="clear" w:color="auto" w:fill="auto"/>
            <w:noWrap/>
            <w:vAlign w:val="center"/>
            <w:hideMark/>
          </w:tcPr>
          <w:p w14:paraId="4856474E" w14:textId="77777777" w:rsidR="004C7B8C" w:rsidRPr="004C7B8C" w:rsidRDefault="004C7B8C" w:rsidP="004C7B8C">
            <w:pPr>
              <w:rPr>
                <w:lang w:val="en-US"/>
              </w:rPr>
            </w:pPr>
            <w:r w:rsidRPr="004C7B8C">
              <w:rPr>
                <w:lang w:val="en-US"/>
              </w:rPr>
              <w:t>Distribution of informal sector workers</w:t>
            </w:r>
          </w:p>
        </w:tc>
      </w:tr>
      <w:tr w:rsidR="004C7B8C" w:rsidRPr="004C7B8C" w14:paraId="4196DE48" w14:textId="77777777" w:rsidTr="005A21B6">
        <w:trPr>
          <w:trHeight w:val="332"/>
        </w:trPr>
        <w:tc>
          <w:tcPr>
            <w:tcW w:w="1530" w:type="dxa"/>
            <w:tcBorders>
              <w:top w:val="nil"/>
              <w:left w:val="single" w:sz="8" w:space="0" w:color="auto"/>
              <w:bottom w:val="single" w:sz="8" w:space="0" w:color="auto"/>
              <w:right w:val="single" w:sz="8" w:space="0" w:color="auto"/>
            </w:tcBorders>
            <w:shd w:val="clear" w:color="auto" w:fill="auto"/>
            <w:noWrap/>
            <w:vAlign w:val="bottom"/>
            <w:hideMark/>
          </w:tcPr>
          <w:p w14:paraId="0FE182AB" w14:textId="77777777" w:rsidR="004C7B8C" w:rsidRPr="004C7B8C" w:rsidRDefault="004C7B8C" w:rsidP="004C7B8C">
            <w:pPr>
              <w:rPr>
                <w:lang w:val="en-US"/>
              </w:rPr>
            </w:pPr>
            <w:r w:rsidRPr="004C7B8C">
              <w:rPr>
                <w:lang w:val="en-US"/>
              </w:rPr>
              <w:t> </w:t>
            </w:r>
          </w:p>
        </w:tc>
        <w:tc>
          <w:tcPr>
            <w:tcW w:w="1710" w:type="dxa"/>
            <w:tcBorders>
              <w:top w:val="nil"/>
              <w:left w:val="nil"/>
              <w:bottom w:val="single" w:sz="8" w:space="0" w:color="auto"/>
              <w:right w:val="nil"/>
            </w:tcBorders>
            <w:shd w:val="clear" w:color="auto" w:fill="auto"/>
            <w:noWrap/>
            <w:vAlign w:val="bottom"/>
            <w:hideMark/>
          </w:tcPr>
          <w:p w14:paraId="595E9011" w14:textId="77777777" w:rsidR="004C7B8C" w:rsidRPr="004C7B8C" w:rsidRDefault="004C7B8C" w:rsidP="004C7B8C">
            <w:pPr>
              <w:rPr>
                <w:lang w:val="en-US"/>
              </w:rPr>
            </w:pPr>
            <w:r w:rsidRPr="004C7B8C">
              <w:rPr>
                <w:lang w:val="en-US"/>
              </w:rPr>
              <w:t> </w:t>
            </w:r>
          </w:p>
        </w:tc>
        <w:tc>
          <w:tcPr>
            <w:tcW w:w="2530" w:type="dxa"/>
            <w:tcBorders>
              <w:top w:val="nil"/>
              <w:left w:val="nil"/>
              <w:bottom w:val="single" w:sz="8" w:space="0" w:color="auto"/>
              <w:right w:val="single" w:sz="8" w:space="0" w:color="auto"/>
            </w:tcBorders>
            <w:shd w:val="clear" w:color="auto" w:fill="auto"/>
            <w:noWrap/>
            <w:vAlign w:val="bottom"/>
            <w:hideMark/>
          </w:tcPr>
          <w:p w14:paraId="1BC9D3FD" w14:textId="77777777" w:rsidR="004C7B8C" w:rsidRPr="004C7B8C" w:rsidRDefault="004C7B8C" w:rsidP="004C7B8C">
            <w:pPr>
              <w:rPr>
                <w:lang w:val="en-US"/>
              </w:rPr>
            </w:pPr>
            <w:r w:rsidRPr="004C7B8C">
              <w:rPr>
                <w:lang w:val="en-US"/>
              </w:rPr>
              <w:t> </w:t>
            </w:r>
          </w:p>
        </w:tc>
        <w:tc>
          <w:tcPr>
            <w:tcW w:w="2690" w:type="dxa"/>
            <w:gridSpan w:val="3"/>
            <w:tcBorders>
              <w:top w:val="nil"/>
              <w:left w:val="nil"/>
              <w:bottom w:val="single" w:sz="8" w:space="0" w:color="auto"/>
              <w:right w:val="single" w:sz="8" w:space="0" w:color="000000"/>
            </w:tcBorders>
            <w:shd w:val="clear" w:color="auto" w:fill="auto"/>
            <w:noWrap/>
            <w:vAlign w:val="bottom"/>
            <w:hideMark/>
          </w:tcPr>
          <w:p w14:paraId="28D65565" w14:textId="77777777" w:rsidR="004C7B8C" w:rsidRPr="004C7B8C" w:rsidRDefault="004C7B8C" w:rsidP="004C7B8C">
            <w:pPr>
              <w:rPr>
                <w:lang w:val="en-US"/>
              </w:rPr>
            </w:pPr>
            <w:r w:rsidRPr="004C7B8C">
              <w:rPr>
                <w:lang w:val="en-US"/>
              </w:rPr>
              <w:t xml:space="preserve"> in informal enterprises (per 1000)</w:t>
            </w:r>
          </w:p>
        </w:tc>
        <w:bookmarkStart w:id="0" w:name="_GoBack"/>
        <w:bookmarkEnd w:id="0"/>
      </w:tr>
      <w:tr w:rsidR="004C7B8C" w:rsidRPr="004C7B8C" w14:paraId="4A917FDA" w14:textId="77777777" w:rsidTr="005A21B6">
        <w:trPr>
          <w:trHeight w:val="311"/>
        </w:trPr>
        <w:tc>
          <w:tcPr>
            <w:tcW w:w="1530" w:type="dxa"/>
            <w:tcBorders>
              <w:top w:val="nil"/>
              <w:left w:val="single" w:sz="8" w:space="0" w:color="auto"/>
              <w:bottom w:val="nil"/>
              <w:right w:val="single" w:sz="8" w:space="0" w:color="auto"/>
            </w:tcBorders>
            <w:shd w:val="clear" w:color="auto" w:fill="auto"/>
            <w:noWrap/>
            <w:vAlign w:val="bottom"/>
            <w:hideMark/>
          </w:tcPr>
          <w:p w14:paraId="53DA3AC9" w14:textId="77777777" w:rsidR="004C7B8C" w:rsidRPr="004C7B8C" w:rsidRDefault="004C7B8C" w:rsidP="004C7B8C">
            <w:pPr>
              <w:rPr>
                <w:lang w:val="en-US"/>
              </w:rPr>
            </w:pPr>
            <w:r w:rsidRPr="004C7B8C">
              <w:rPr>
                <w:lang w:val="en-US"/>
              </w:rPr>
              <w:t> </w:t>
            </w:r>
          </w:p>
        </w:tc>
        <w:tc>
          <w:tcPr>
            <w:tcW w:w="1710" w:type="dxa"/>
            <w:tcBorders>
              <w:top w:val="nil"/>
              <w:left w:val="nil"/>
              <w:bottom w:val="nil"/>
              <w:right w:val="single" w:sz="8" w:space="0" w:color="auto"/>
            </w:tcBorders>
            <w:shd w:val="clear" w:color="auto" w:fill="auto"/>
            <w:noWrap/>
            <w:vAlign w:val="bottom"/>
            <w:hideMark/>
          </w:tcPr>
          <w:p w14:paraId="760E078F" w14:textId="77777777" w:rsidR="004C7B8C" w:rsidRPr="004C7B8C" w:rsidRDefault="004C7B8C" w:rsidP="004C7B8C">
            <w:pPr>
              <w:rPr>
                <w:lang w:val="en-US"/>
              </w:rPr>
            </w:pPr>
            <w:r w:rsidRPr="004C7B8C">
              <w:rPr>
                <w:lang w:val="en-US"/>
              </w:rPr>
              <w:t> </w:t>
            </w:r>
          </w:p>
        </w:tc>
        <w:tc>
          <w:tcPr>
            <w:tcW w:w="2530" w:type="dxa"/>
            <w:tcBorders>
              <w:top w:val="nil"/>
              <w:left w:val="nil"/>
              <w:bottom w:val="nil"/>
              <w:right w:val="single" w:sz="8" w:space="0" w:color="auto"/>
            </w:tcBorders>
            <w:shd w:val="clear" w:color="auto" w:fill="auto"/>
            <w:noWrap/>
            <w:vAlign w:val="bottom"/>
            <w:hideMark/>
          </w:tcPr>
          <w:p w14:paraId="1344F14A" w14:textId="77777777" w:rsidR="004C7B8C" w:rsidRPr="004C7B8C" w:rsidRDefault="004C7B8C" w:rsidP="004C7B8C">
            <w:pPr>
              <w:rPr>
                <w:lang w:val="en-US"/>
              </w:rPr>
            </w:pPr>
            <w:r w:rsidRPr="004C7B8C">
              <w:rPr>
                <w:lang w:val="en-US"/>
              </w:rPr>
              <w:t> </w:t>
            </w:r>
          </w:p>
        </w:tc>
        <w:tc>
          <w:tcPr>
            <w:tcW w:w="868" w:type="dxa"/>
            <w:tcBorders>
              <w:top w:val="nil"/>
              <w:left w:val="nil"/>
              <w:bottom w:val="single" w:sz="4" w:space="0" w:color="auto"/>
              <w:right w:val="single" w:sz="8" w:space="0" w:color="auto"/>
            </w:tcBorders>
            <w:shd w:val="clear" w:color="auto" w:fill="auto"/>
            <w:noWrap/>
            <w:vAlign w:val="bottom"/>
            <w:hideMark/>
          </w:tcPr>
          <w:p w14:paraId="56E94C91" w14:textId="77777777" w:rsidR="004C7B8C" w:rsidRPr="004C7B8C" w:rsidRDefault="004C7B8C" w:rsidP="004C7B8C">
            <w:pPr>
              <w:rPr>
                <w:lang w:val="en-US"/>
              </w:rPr>
            </w:pPr>
            <w:r w:rsidRPr="004C7B8C">
              <w:rPr>
                <w:lang w:val="en-US"/>
              </w:rPr>
              <w:t>All India</w:t>
            </w:r>
          </w:p>
        </w:tc>
        <w:tc>
          <w:tcPr>
            <w:tcW w:w="1822"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4F2B48B7" w14:textId="77777777" w:rsidR="004C7B8C" w:rsidRPr="004C7B8C" w:rsidRDefault="004C7B8C" w:rsidP="004C7B8C">
            <w:pPr>
              <w:rPr>
                <w:lang w:val="en-US"/>
              </w:rPr>
            </w:pPr>
            <w:r w:rsidRPr="004C7B8C">
              <w:rPr>
                <w:lang w:val="en-US"/>
              </w:rPr>
              <w:t>Urban</w:t>
            </w:r>
          </w:p>
        </w:tc>
      </w:tr>
      <w:tr w:rsidR="004C7B8C" w:rsidRPr="004C7B8C" w14:paraId="46D6388B" w14:textId="77777777" w:rsidTr="005A21B6">
        <w:trPr>
          <w:trHeight w:val="332"/>
        </w:trPr>
        <w:tc>
          <w:tcPr>
            <w:tcW w:w="1530" w:type="dxa"/>
            <w:tcBorders>
              <w:top w:val="nil"/>
              <w:left w:val="single" w:sz="8" w:space="0" w:color="auto"/>
              <w:bottom w:val="nil"/>
              <w:right w:val="single" w:sz="8" w:space="0" w:color="auto"/>
            </w:tcBorders>
            <w:shd w:val="clear" w:color="auto" w:fill="auto"/>
            <w:noWrap/>
            <w:vAlign w:val="bottom"/>
            <w:hideMark/>
          </w:tcPr>
          <w:p w14:paraId="4AE2B333" w14:textId="77777777" w:rsidR="004C7B8C" w:rsidRPr="004C7B8C" w:rsidRDefault="004C7B8C" w:rsidP="004C7B8C">
            <w:pPr>
              <w:rPr>
                <w:lang w:val="en-US"/>
              </w:rPr>
            </w:pPr>
            <w:r w:rsidRPr="004C7B8C">
              <w:rPr>
                <w:lang w:val="en-US"/>
              </w:rPr>
              <w:t> </w:t>
            </w:r>
          </w:p>
        </w:tc>
        <w:tc>
          <w:tcPr>
            <w:tcW w:w="1710" w:type="dxa"/>
            <w:tcBorders>
              <w:top w:val="nil"/>
              <w:left w:val="nil"/>
              <w:bottom w:val="single" w:sz="8" w:space="0" w:color="auto"/>
              <w:right w:val="single" w:sz="8" w:space="0" w:color="auto"/>
            </w:tcBorders>
            <w:shd w:val="clear" w:color="auto" w:fill="auto"/>
            <w:noWrap/>
            <w:vAlign w:val="bottom"/>
            <w:hideMark/>
          </w:tcPr>
          <w:p w14:paraId="76017FAB" w14:textId="77777777" w:rsidR="004C7B8C" w:rsidRPr="004C7B8C" w:rsidRDefault="004C7B8C" w:rsidP="004C7B8C">
            <w:pPr>
              <w:rPr>
                <w:lang w:val="en-US"/>
              </w:rPr>
            </w:pPr>
            <w:r w:rsidRPr="004C7B8C">
              <w:rPr>
                <w:lang w:val="en-US"/>
              </w:rPr>
              <w:t> </w:t>
            </w:r>
          </w:p>
        </w:tc>
        <w:tc>
          <w:tcPr>
            <w:tcW w:w="2530" w:type="dxa"/>
            <w:tcBorders>
              <w:top w:val="nil"/>
              <w:left w:val="nil"/>
              <w:bottom w:val="single" w:sz="8" w:space="0" w:color="auto"/>
              <w:right w:val="single" w:sz="8" w:space="0" w:color="auto"/>
            </w:tcBorders>
            <w:shd w:val="clear" w:color="auto" w:fill="auto"/>
            <w:noWrap/>
            <w:vAlign w:val="bottom"/>
            <w:hideMark/>
          </w:tcPr>
          <w:p w14:paraId="328BC2A6" w14:textId="77777777" w:rsidR="004C7B8C" w:rsidRPr="004C7B8C" w:rsidRDefault="004C7B8C" w:rsidP="004C7B8C">
            <w:pPr>
              <w:rPr>
                <w:lang w:val="en-US"/>
              </w:rPr>
            </w:pPr>
            <w:r w:rsidRPr="004C7B8C">
              <w:rPr>
                <w:lang w:val="en-US"/>
              </w:rPr>
              <w:t> </w:t>
            </w:r>
          </w:p>
        </w:tc>
        <w:tc>
          <w:tcPr>
            <w:tcW w:w="868" w:type="dxa"/>
            <w:tcBorders>
              <w:top w:val="nil"/>
              <w:left w:val="nil"/>
              <w:bottom w:val="single" w:sz="8" w:space="0" w:color="auto"/>
              <w:right w:val="single" w:sz="8" w:space="0" w:color="auto"/>
            </w:tcBorders>
            <w:shd w:val="clear" w:color="auto" w:fill="auto"/>
            <w:noWrap/>
            <w:vAlign w:val="bottom"/>
            <w:hideMark/>
          </w:tcPr>
          <w:p w14:paraId="36B73A24" w14:textId="77777777" w:rsidR="004C7B8C" w:rsidRPr="004C7B8C" w:rsidRDefault="004C7B8C" w:rsidP="004C7B8C">
            <w:pPr>
              <w:rPr>
                <w:lang w:val="en-US"/>
              </w:rPr>
            </w:pPr>
            <w:r w:rsidRPr="004C7B8C">
              <w:rPr>
                <w:lang w:val="en-US"/>
              </w:rPr>
              <w:t> </w:t>
            </w:r>
          </w:p>
        </w:tc>
        <w:tc>
          <w:tcPr>
            <w:tcW w:w="866" w:type="dxa"/>
            <w:tcBorders>
              <w:top w:val="nil"/>
              <w:left w:val="nil"/>
              <w:bottom w:val="single" w:sz="8" w:space="0" w:color="auto"/>
              <w:right w:val="single" w:sz="4" w:space="0" w:color="auto"/>
            </w:tcBorders>
            <w:shd w:val="clear" w:color="auto" w:fill="auto"/>
            <w:noWrap/>
            <w:vAlign w:val="bottom"/>
            <w:hideMark/>
          </w:tcPr>
          <w:p w14:paraId="2E3E36C5" w14:textId="77777777" w:rsidR="004C7B8C" w:rsidRPr="004C7B8C" w:rsidRDefault="004C7B8C" w:rsidP="004C7B8C">
            <w:pPr>
              <w:rPr>
                <w:lang w:val="en-US"/>
              </w:rPr>
            </w:pPr>
            <w:r w:rsidRPr="004C7B8C">
              <w:rPr>
                <w:lang w:val="en-US"/>
              </w:rPr>
              <w:t xml:space="preserve">Male </w:t>
            </w:r>
          </w:p>
        </w:tc>
        <w:tc>
          <w:tcPr>
            <w:tcW w:w="956" w:type="dxa"/>
            <w:tcBorders>
              <w:top w:val="nil"/>
              <w:left w:val="nil"/>
              <w:bottom w:val="single" w:sz="8" w:space="0" w:color="auto"/>
              <w:right w:val="single" w:sz="8" w:space="0" w:color="auto"/>
            </w:tcBorders>
            <w:shd w:val="clear" w:color="auto" w:fill="auto"/>
            <w:noWrap/>
            <w:vAlign w:val="bottom"/>
            <w:hideMark/>
          </w:tcPr>
          <w:p w14:paraId="23C7E62E" w14:textId="77777777" w:rsidR="004C7B8C" w:rsidRPr="004C7B8C" w:rsidRDefault="004C7B8C" w:rsidP="004C7B8C">
            <w:pPr>
              <w:rPr>
                <w:lang w:val="en-US"/>
              </w:rPr>
            </w:pPr>
            <w:r w:rsidRPr="004C7B8C">
              <w:rPr>
                <w:lang w:val="en-US"/>
              </w:rPr>
              <w:t>Female</w:t>
            </w:r>
          </w:p>
        </w:tc>
      </w:tr>
      <w:tr w:rsidR="004C7B8C" w:rsidRPr="004C7B8C" w14:paraId="5D4A9D81" w14:textId="77777777" w:rsidTr="005A21B6">
        <w:trPr>
          <w:trHeight w:val="311"/>
        </w:trPr>
        <w:tc>
          <w:tcPr>
            <w:tcW w:w="1530" w:type="dxa"/>
            <w:tcBorders>
              <w:top w:val="single" w:sz="8" w:space="0" w:color="auto"/>
              <w:left w:val="single" w:sz="8" w:space="0" w:color="auto"/>
              <w:bottom w:val="nil"/>
              <w:right w:val="single" w:sz="8" w:space="0" w:color="auto"/>
            </w:tcBorders>
            <w:shd w:val="clear" w:color="auto" w:fill="auto"/>
            <w:noWrap/>
            <w:vAlign w:val="bottom"/>
            <w:hideMark/>
          </w:tcPr>
          <w:p w14:paraId="2344116D" w14:textId="77777777" w:rsidR="004C7B8C" w:rsidRPr="004C7B8C" w:rsidRDefault="004C7B8C" w:rsidP="004C7B8C">
            <w:pPr>
              <w:rPr>
                <w:lang w:val="en-US"/>
              </w:rPr>
            </w:pPr>
            <w:r w:rsidRPr="004C7B8C">
              <w:rPr>
                <w:lang w:val="en-US"/>
              </w:rPr>
              <w:t>Driver</w:t>
            </w:r>
          </w:p>
        </w:tc>
        <w:tc>
          <w:tcPr>
            <w:tcW w:w="1710" w:type="dxa"/>
            <w:tcBorders>
              <w:top w:val="nil"/>
              <w:left w:val="nil"/>
              <w:bottom w:val="nil"/>
              <w:right w:val="single" w:sz="8" w:space="0" w:color="auto"/>
            </w:tcBorders>
            <w:shd w:val="clear" w:color="auto" w:fill="auto"/>
            <w:noWrap/>
            <w:vAlign w:val="bottom"/>
            <w:hideMark/>
          </w:tcPr>
          <w:p w14:paraId="055D4FC7" w14:textId="77777777" w:rsidR="004C7B8C" w:rsidRPr="004C7B8C" w:rsidRDefault="004C7B8C" w:rsidP="004C7B8C">
            <w:pPr>
              <w:rPr>
                <w:lang w:val="en-US"/>
              </w:rPr>
            </w:pPr>
            <w:r w:rsidRPr="004C7B8C">
              <w:rPr>
                <w:lang w:val="en-US"/>
              </w:rPr>
              <w:t>Transportation &amp; Storage (H)</w:t>
            </w:r>
          </w:p>
        </w:tc>
        <w:tc>
          <w:tcPr>
            <w:tcW w:w="2530" w:type="dxa"/>
            <w:tcBorders>
              <w:top w:val="nil"/>
              <w:left w:val="nil"/>
              <w:bottom w:val="nil"/>
              <w:right w:val="single" w:sz="8" w:space="0" w:color="auto"/>
            </w:tcBorders>
            <w:shd w:val="clear" w:color="auto" w:fill="auto"/>
            <w:noWrap/>
            <w:vAlign w:val="bottom"/>
            <w:hideMark/>
          </w:tcPr>
          <w:p w14:paraId="67CA3C37" w14:textId="77777777" w:rsidR="004C7B8C" w:rsidRPr="004C7B8C" w:rsidRDefault="004C7B8C" w:rsidP="004C7B8C">
            <w:pPr>
              <w:rPr>
                <w:lang w:val="en-US"/>
              </w:rPr>
            </w:pPr>
            <w:r w:rsidRPr="004C7B8C">
              <w:rPr>
                <w:lang w:val="en-US"/>
              </w:rPr>
              <w:t>Division 49: Land Transport &amp; via pipelines</w:t>
            </w:r>
          </w:p>
        </w:tc>
        <w:tc>
          <w:tcPr>
            <w:tcW w:w="868" w:type="dxa"/>
            <w:tcBorders>
              <w:top w:val="nil"/>
              <w:left w:val="nil"/>
              <w:bottom w:val="nil"/>
              <w:right w:val="single" w:sz="8" w:space="0" w:color="auto"/>
            </w:tcBorders>
            <w:shd w:val="clear" w:color="auto" w:fill="auto"/>
            <w:noWrap/>
            <w:vAlign w:val="bottom"/>
            <w:hideMark/>
          </w:tcPr>
          <w:p w14:paraId="5474E94A" w14:textId="77777777" w:rsidR="004C7B8C" w:rsidRPr="004C7B8C" w:rsidRDefault="004C7B8C" w:rsidP="004C7B8C">
            <w:pPr>
              <w:rPr>
                <w:lang w:val="en-US"/>
              </w:rPr>
            </w:pPr>
            <w:r w:rsidRPr="004C7B8C">
              <w:rPr>
                <w:lang w:val="en-US"/>
              </w:rPr>
              <w:t>78</w:t>
            </w:r>
          </w:p>
        </w:tc>
        <w:tc>
          <w:tcPr>
            <w:tcW w:w="866" w:type="dxa"/>
            <w:tcBorders>
              <w:top w:val="nil"/>
              <w:left w:val="nil"/>
              <w:bottom w:val="nil"/>
              <w:right w:val="single" w:sz="8" w:space="0" w:color="auto"/>
            </w:tcBorders>
            <w:shd w:val="clear" w:color="auto" w:fill="auto"/>
            <w:noWrap/>
            <w:vAlign w:val="bottom"/>
            <w:hideMark/>
          </w:tcPr>
          <w:p w14:paraId="24269786" w14:textId="77777777" w:rsidR="004C7B8C" w:rsidRPr="004C7B8C" w:rsidRDefault="004C7B8C" w:rsidP="004C7B8C">
            <w:pPr>
              <w:rPr>
                <w:lang w:val="en-US"/>
              </w:rPr>
            </w:pPr>
            <w:r w:rsidRPr="004C7B8C">
              <w:rPr>
                <w:lang w:val="en-US"/>
              </w:rPr>
              <w:t>95</w:t>
            </w:r>
          </w:p>
        </w:tc>
        <w:tc>
          <w:tcPr>
            <w:tcW w:w="956" w:type="dxa"/>
            <w:tcBorders>
              <w:top w:val="nil"/>
              <w:left w:val="nil"/>
              <w:bottom w:val="nil"/>
              <w:right w:val="single" w:sz="8" w:space="0" w:color="auto"/>
            </w:tcBorders>
            <w:shd w:val="clear" w:color="auto" w:fill="auto"/>
            <w:noWrap/>
            <w:vAlign w:val="bottom"/>
            <w:hideMark/>
          </w:tcPr>
          <w:p w14:paraId="778FA8C6" w14:textId="77777777" w:rsidR="004C7B8C" w:rsidRPr="004C7B8C" w:rsidRDefault="004C7B8C" w:rsidP="004C7B8C">
            <w:pPr>
              <w:rPr>
                <w:lang w:val="en-US"/>
              </w:rPr>
            </w:pPr>
            <w:r w:rsidRPr="004C7B8C">
              <w:rPr>
                <w:lang w:val="en-US"/>
              </w:rPr>
              <w:t>8</w:t>
            </w:r>
          </w:p>
        </w:tc>
      </w:tr>
      <w:tr w:rsidR="004C7B8C" w:rsidRPr="004C7B8C" w14:paraId="003E3394" w14:textId="77777777" w:rsidTr="005A21B6">
        <w:trPr>
          <w:trHeight w:val="332"/>
        </w:trPr>
        <w:tc>
          <w:tcPr>
            <w:tcW w:w="1530" w:type="dxa"/>
            <w:tcBorders>
              <w:top w:val="nil"/>
              <w:left w:val="single" w:sz="8" w:space="0" w:color="auto"/>
              <w:bottom w:val="single" w:sz="8" w:space="0" w:color="auto"/>
              <w:right w:val="single" w:sz="8" w:space="0" w:color="auto"/>
            </w:tcBorders>
            <w:shd w:val="clear" w:color="auto" w:fill="auto"/>
            <w:noWrap/>
            <w:vAlign w:val="bottom"/>
            <w:hideMark/>
          </w:tcPr>
          <w:p w14:paraId="12893528" w14:textId="77777777" w:rsidR="004C7B8C" w:rsidRPr="004C7B8C" w:rsidRDefault="004C7B8C" w:rsidP="004C7B8C">
            <w:pPr>
              <w:rPr>
                <w:lang w:val="en-US"/>
              </w:rPr>
            </w:pPr>
            <w:r w:rsidRPr="004C7B8C">
              <w:rPr>
                <w:lang w:val="en-US"/>
              </w:rPr>
              <w:t> </w:t>
            </w:r>
          </w:p>
        </w:tc>
        <w:tc>
          <w:tcPr>
            <w:tcW w:w="1710" w:type="dxa"/>
            <w:tcBorders>
              <w:top w:val="nil"/>
              <w:left w:val="nil"/>
              <w:bottom w:val="single" w:sz="8" w:space="0" w:color="auto"/>
              <w:right w:val="single" w:sz="8" w:space="0" w:color="auto"/>
            </w:tcBorders>
            <w:shd w:val="clear" w:color="auto" w:fill="auto"/>
            <w:noWrap/>
            <w:vAlign w:val="bottom"/>
            <w:hideMark/>
          </w:tcPr>
          <w:p w14:paraId="34C90A76" w14:textId="77777777" w:rsidR="004C7B8C" w:rsidRPr="004C7B8C" w:rsidRDefault="004C7B8C" w:rsidP="004C7B8C">
            <w:pPr>
              <w:rPr>
                <w:lang w:val="en-US"/>
              </w:rPr>
            </w:pPr>
            <w:r w:rsidRPr="004C7B8C">
              <w:rPr>
                <w:lang w:val="en-US"/>
              </w:rPr>
              <w:t> </w:t>
            </w:r>
          </w:p>
        </w:tc>
        <w:tc>
          <w:tcPr>
            <w:tcW w:w="2530" w:type="dxa"/>
            <w:tcBorders>
              <w:top w:val="nil"/>
              <w:left w:val="nil"/>
              <w:bottom w:val="single" w:sz="8" w:space="0" w:color="auto"/>
              <w:right w:val="single" w:sz="8" w:space="0" w:color="auto"/>
            </w:tcBorders>
            <w:shd w:val="clear" w:color="auto" w:fill="auto"/>
            <w:noWrap/>
            <w:vAlign w:val="bottom"/>
            <w:hideMark/>
          </w:tcPr>
          <w:p w14:paraId="1FA31CEC" w14:textId="77777777" w:rsidR="004C7B8C" w:rsidRPr="004C7B8C" w:rsidRDefault="004C7B8C" w:rsidP="004C7B8C">
            <w:pPr>
              <w:rPr>
                <w:lang w:val="en-US"/>
              </w:rPr>
            </w:pPr>
            <w:r w:rsidRPr="004C7B8C">
              <w:rPr>
                <w:lang w:val="en-US"/>
              </w:rPr>
              <w:t> </w:t>
            </w:r>
          </w:p>
        </w:tc>
        <w:tc>
          <w:tcPr>
            <w:tcW w:w="868" w:type="dxa"/>
            <w:tcBorders>
              <w:top w:val="nil"/>
              <w:left w:val="nil"/>
              <w:bottom w:val="single" w:sz="8" w:space="0" w:color="auto"/>
              <w:right w:val="single" w:sz="8" w:space="0" w:color="auto"/>
            </w:tcBorders>
            <w:shd w:val="clear" w:color="auto" w:fill="auto"/>
            <w:noWrap/>
            <w:vAlign w:val="bottom"/>
            <w:hideMark/>
          </w:tcPr>
          <w:p w14:paraId="4F994B39" w14:textId="77777777" w:rsidR="004C7B8C" w:rsidRPr="004C7B8C" w:rsidRDefault="004C7B8C" w:rsidP="004C7B8C">
            <w:pPr>
              <w:rPr>
                <w:lang w:val="en-US"/>
              </w:rPr>
            </w:pPr>
            <w:r w:rsidRPr="004C7B8C">
              <w:rPr>
                <w:lang w:val="en-US"/>
              </w:rPr>
              <w:t> </w:t>
            </w:r>
          </w:p>
        </w:tc>
        <w:tc>
          <w:tcPr>
            <w:tcW w:w="866" w:type="dxa"/>
            <w:tcBorders>
              <w:top w:val="nil"/>
              <w:left w:val="nil"/>
              <w:bottom w:val="single" w:sz="8" w:space="0" w:color="auto"/>
              <w:right w:val="single" w:sz="8" w:space="0" w:color="auto"/>
            </w:tcBorders>
            <w:shd w:val="clear" w:color="auto" w:fill="auto"/>
            <w:noWrap/>
            <w:vAlign w:val="bottom"/>
            <w:hideMark/>
          </w:tcPr>
          <w:p w14:paraId="46E79A1B" w14:textId="77777777" w:rsidR="004C7B8C" w:rsidRPr="004C7B8C" w:rsidRDefault="004C7B8C" w:rsidP="004C7B8C">
            <w:pPr>
              <w:rPr>
                <w:lang w:val="en-US"/>
              </w:rPr>
            </w:pPr>
            <w:r w:rsidRPr="004C7B8C">
              <w:rPr>
                <w:lang w:val="en-US"/>
              </w:rPr>
              <w:t> </w:t>
            </w:r>
          </w:p>
        </w:tc>
        <w:tc>
          <w:tcPr>
            <w:tcW w:w="956" w:type="dxa"/>
            <w:tcBorders>
              <w:top w:val="nil"/>
              <w:left w:val="nil"/>
              <w:bottom w:val="single" w:sz="8" w:space="0" w:color="auto"/>
              <w:right w:val="single" w:sz="8" w:space="0" w:color="auto"/>
            </w:tcBorders>
            <w:shd w:val="clear" w:color="auto" w:fill="auto"/>
            <w:noWrap/>
            <w:vAlign w:val="bottom"/>
            <w:hideMark/>
          </w:tcPr>
          <w:p w14:paraId="3E0FD3D4" w14:textId="77777777" w:rsidR="004C7B8C" w:rsidRPr="004C7B8C" w:rsidRDefault="004C7B8C" w:rsidP="004C7B8C">
            <w:pPr>
              <w:rPr>
                <w:lang w:val="en-US"/>
              </w:rPr>
            </w:pPr>
            <w:r w:rsidRPr="004C7B8C">
              <w:rPr>
                <w:lang w:val="en-US"/>
              </w:rPr>
              <w:t> </w:t>
            </w:r>
          </w:p>
        </w:tc>
      </w:tr>
      <w:tr w:rsidR="004C7B8C" w:rsidRPr="004C7B8C" w14:paraId="0B6C0A5A" w14:textId="77777777" w:rsidTr="005A21B6">
        <w:trPr>
          <w:trHeight w:val="332"/>
        </w:trPr>
        <w:tc>
          <w:tcPr>
            <w:tcW w:w="1530" w:type="dxa"/>
            <w:tcBorders>
              <w:top w:val="nil"/>
              <w:left w:val="single" w:sz="8" w:space="0" w:color="auto"/>
              <w:bottom w:val="single" w:sz="8" w:space="0" w:color="auto"/>
              <w:right w:val="single" w:sz="8" w:space="0" w:color="auto"/>
            </w:tcBorders>
            <w:shd w:val="clear" w:color="auto" w:fill="auto"/>
            <w:noWrap/>
            <w:vAlign w:val="bottom"/>
            <w:hideMark/>
          </w:tcPr>
          <w:p w14:paraId="6D4D53C9" w14:textId="77777777" w:rsidR="004C7B8C" w:rsidRPr="004C7B8C" w:rsidRDefault="004C7B8C" w:rsidP="004C7B8C">
            <w:pPr>
              <w:rPr>
                <w:lang w:val="en-US"/>
              </w:rPr>
            </w:pPr>
            <w:r w:rsidRPr="004C7B8C">
              <w:rPr>
                <w:lang w:val="en-US"/>
              </w:rPr>
              <w:t>Security Guard</w:t>
            </w:r>
          </w:p>
        </w:tc>
        <w:tc>
          <w:tcPr>
            <w:tcW w:w="1710" w:type="dxa"/>
            <w:tcBorders>
              <w:top w:val="nil"/>
              <w:left w:val="nil"/>
              <w:bottom w:val="nil"/>
              <w:right w:val="single" w:sz="8" w:space="0" w:color="auto"/>
            </w:tcBorders>
            <w:shd w:val="clear" w:color="auto" w:fill="auto"/>
            <w:noWrap/>
            <w:vAlign w:val="bottom"/>
            <w:hideMark/>
          </w:tcPr>
          <w:p w14:paraId="4A942781" w14:textId="77777777" w:rsidR="004C7B8C" w:rsidRPr="004C7B8C" w:rsidRDefault="004C7B8C" w:rsidP="004C7B8C">
            <w:pPr>
              <w:rPr>
                <w:lang w:val="en-US"/>
              </w:rPr>
            </w:pPr>
            <w:r w:rsidRPr="004C7B8C">
              <w:rPr>
                <w:lang w:val="en-US"/>
              </w:rPr>
              <w:t xml:space="preserve">Administrative &amp; Support </w:t>
            </w:r>
          </w:p>
        </w:tc>
        <w:tc>
          <w:tcPr>
            <w:tcW w:w="2530" w:type="dxa"/>
            <w:tcBorders>
              <w:top w:val="nil"/>
              <w:left w:val="nil"/>
              <w:bottom w:val="single" w:sz="8" w:space="0" w:color="auto"/>
              <w:right w:val="single" w:sz="8" w:space="0" w:color="auto"/>
            </w:tcBorders>
            <w:shd w:val="clear" w:color="auto" w:fill="auto"/>
            <w:noWrap/>
            <w:vAlign w:val="bottom"/>
            <w:hideMark/>
          </w:tcPr>
          <w:p w14:paraId="30BC4DDD" w14:textId="77777777" w:rsidR="004C7B8C" w:rsidRPr="004C7B8C" w:rsidRDefault="004C7B8C" w:rsidP="004C7B8C">
            <w:pPr>
              <w:rPr>
                <w:lang w:val="en-US"/>
              </w:rPr>
            </w:pPr>
            <w:r w:rsidRPr="004C7B8C">
              <w:rPr>
                <w:lang w:val="en-US"/>
              </w:rPr>
              <w:t>Division 80: Security &amp; Investigation</w:t>
            </w:r>
          </w:p>
        </w:tc>
        <w:tc>
          <w:tcPr>
            <w:tcW w:w="868"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4303F47F" w14:textId="77777777" w:rsidR="004C7B8C" w:rsidRPr="004C7B8C" w:rsidRDefault="004C7B8C" w:rsidP="004C7B8C">
            <w:pPr>
              <w:rPr>
                <w:lang w:val="en-US"/>
              </w:rPr>
            </w:pPr>
            <w:r w:rsidRPr="004C7B8C">
              <w:rPr>
                <w:lang w:val="en-US"/>
              </w:rPr>
              <w:t>20</w:t>
            </w:r>
          </w:p>
        </w:tc>
        <w:tc>
          <w:tcPr>
            <w:tcW w:w="866"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09C7847B" w14:textId="77777777" w:rsidR="004C7B8C" w:rsidRPr="004C7B8C" w:rsidRDefault="004C7B8C" w:rsidP="004C7B8C">
            <w:pPr>
              <w:rPr>
                <w:lang w:val="en-US"/>
              </w:rPr>
            </w:pPr>
            <w:r w:rsidRPr="004C7B8C">
              <w:rPr>
                <w:lang w:val="en-US"/>
              </w:rPr>
              <w:t>21</w:t>
            </w:r>
          </w:p>
        </w:tc>
        <w:tc>
          <w:tcPr>
            <w:tcW w:w="956"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46321C14" w14:textId="77777777" w:rsidR="004C7B8C" w:rsidRPr="004C7B8C" w:rsidRDefault="004C7B8C" w:rsidP="004C7B8C">
            <w:pPr>
              <w:rPr>
                <w:lang w:val="en-US"/>
              </w:rPr>
            </w:pPr>
            <w:r w:rsidRPr="004C7B8C">
              <w:rPr>
                <w:lang w:val="en-US"/>
              </w:rPr>
              <w:t>12</w:t>
            </w:r>
          </w:p>
        </w:tc>
      </w:tr>
      <w:tr w:rsidR="004C7B8C" w:rsidRPr="004C7B8C" w14:paraId="0629363E" w14:textId="77777777" w:rsidTr="005A21B6">
        <w:trPr>
          <w:trHeight w:val="332"/>
        </w:trPr>
        <w:tc>
          <w:tcPr>
            <w:tcW w:w="1530" w:type="dxa"/>
            <w:tcBorders>
              <w:top w:val="nil"/>
              <w:left w:val="single" w:sz="8" w:space="0" w:color="auto"/>
              <w:bottom w:val="single" w:sz="8" w:space="0" w:color="auto"/>
              <w:right w:val="single" w:sz="8" w:space="0" w:color="auto"/>
            </w:tcBorders>
            <w:shd w:val="clear" w:color="auto" w:fill="auto"/>
            <w:noWrap/>
            <w:vAlign w:val="bottom"/>
            <w:hideMark/>
          </w:tcPr>
          <w:p w14:paraId="4AD5E56D" w14:textId="77777777" w:rsidR="004C7B8C" w:rsidRPr="004C7B8C" w:rsidRDefault="004C7B8C" w:rsidP="004C7B8C">
            <w:pPr>
              <w:rPr>
                <w:lang w:val="en-US"/>
              </w:rPr>
            </w:pPr>
            <w:r w:rsidRPr="004C7B8C">
              <w:rPr>
                <w:lang w:val="en-US"/>
              </w:rPr>
              <w:t>Housekeeper</w:t>
            </w:r>
          </w:p>
        </w:tc>
        <w:tc>
          <w:tcPr>
            <w:tcW w:w="1710" w:type="dxa"/>
            <w:tcBorders>
              <w:top w:val="nil"/>
              <w:left w:val="nil"/>
              <w:bottom w:val="single" w:sz="8" w:space="0" w:color="auto"/>
              <w:right w:val="single" w:sz="8" w:space="0" w:color="auto"/>
            </w:tcBorders>
            <w:shd w:val="clear" w:color="auto" w:fill="auto"/>
            <w:noWrap/>
            <w:vAlign w:val="bottom"/>
            <w:hideMark/>
          </w:tcPr>
          <w:p w14:paraId="0ACF726C" w14:textId="77777777" w:rsidR="004C7B8C" w:rsidRPr="004C7B8C" w:rsidRDefault="004C7B8C" w:rsidP="004C7B8C">
            <w:pPr>
              <w:rPr>
                <w:lang w:val="en-US"/>
              </w:rPr>
            </w:pPr>
            <w:r w:rsidRPr="004C7B8C">
              <w:rPr>
                <w:lang w:val="en-US"/>
              </w:rPr>
              <w:t>Service Activities (N)</w:t>
            </w:r>
          </w:p>
        </w:tc>
        <w:tc>
          <w:tcPr>
            <w:tcW w:w="2530" w:type="dxa"/>
            <w:tcBorders>
              <w:top w:val="nil"/>
              <w:left w:val="nil"/>
              <w:bottom w:val="single" w:sz="8" w:space="0" w:color="auto"/>
              <w:right w:val="single" w:sz="8" w:space="0" w:color="auto"/>
            </w:tcBorders>
            <w:shd w:val="clear" w:color="auto" w:fill="auto"/>
            <w:noWrap/>
            <w:vAlign w:val="bottom"/>
            <w:hideMark/>
          </w:tcPr>
          <w:p w14:paraId="53655B52" w14:textId="77777777" w:rsidR="004C7B8C" w:rsidRPr="004C7B8C" w:rsidRDefault="004C7B8C" w:rsidP="004C7B8C">
            <w:pPr>
              <w:rPr>
                <w:lang w:val="en-US"/>
              </w:rPr>
            </w:pPr>
            <w:r w:rsidRPr="004C7B8C">
              <w:rPr>
                <w:lang w:val="en-US"/>
              </w:rPr>
              <w:t>Division 81: Services to buildings &amp; landscape</w:t>
            </w:r>
          </w:p>
        </w:tc>
        <w:tc>
          <w:tcPr>
            <w:tcW w:w="868" w:type="dxa"/>
            <w:vMerge/>
            <w:tcBorders>
              <w:top w:val="nil"/>
              <w:left w:val="single" w:sz="8" w:space="0" w:color="auto"/>
              <w:bottom w:val="single" w:sz="8" w:space="0" w:color="000000"/>
              <w:right w:val="single" w:sz="8" w:space="0" w:color="auto"/>
            </w:tcBorders>
            <w:vAlign w:val="center"/>
            <w:hideMark/>
          </w:tcPr>
          <w:p w14:paraId="726D3A91" w14:textId="77777777" w:rsidR="004C7B8C" w:rsidRPr="004C7B8C" w:rsidRDefault="004C7B8C" w:rsidP="004C7B8C">
            <w:pPr>
              <w:rPr>
                <w:lang w:val="en-US"/>
              </w:rPr>
            </w:pPr>
          </w:p>
        </w:tc>
        <w:tc>
          <w:tcPr>
            <w:tcW w:w="866" w:type="dxa"/>
            <w:vMerge/>
            <w:tcBorders>
              <w:top w:val="nil"/>
              <w:left w:val="single" w:sz="8" w:space="0" w:color="auto"/>
              <w:bottom w:val="single" w:sz="8" w:space="0" w:color="000000"/>
              <w:right w:val="single" w:sz="8" w:space="0" w:color="auto"/>
            </w:tcBorders>
            <w:vAlign w:val="center"/>
            <w:hideMark/>
          </w:tcPr>
          <w:p w14:paraId="636CCE73" w14:textId="77777777" w:rsidR="004C7B8C" w:rsidRPr="004C7B8C" w:rsidRDefault="004C7B8C" w:rsidP="004C7B8C">
            <w:pPr>
              <w:rPr>
                <w:lang w:val="en-US"/>
              </w:rPr>
            </w:pPr>
          </w:p>
        </w:tc>
        <w:tc>
          <w:tcPr>
            <w:tcW w:w="956" w:type="dxa"/>
            <w:vMerge/>
            <w:tcBorders>
              <w:top w:val="nil"/>
              <w:left w:val="single" w:sz="8" w:space="0" w:color="auto"/>
              <w:bottom w:val="single" w:sz="8" w:space="0" w:color="000000"/>
              <w:right w:val="single" w:sz="8" w:space="0" w:color="auto"/>
            </w:tcBorders>
            <w:vAlign w:val="center"/>
            <w:hideMark/>
          </w:tcPr>
          <w:p w14:paraId="603902B1" w14:textId="77777777" w:rsidR="004C7B8C" w:rsidRPr="004C7B8C" w:rsidRDefault="004C7B8C" w:rsidP="004C7B8C">
            <w:pPr>
              <w:rPr>
                <w:lang w:val="en-US"/>
              </w:rPr>
            </w:pPr>
          </w:p>
        </w:tc>
      </w:tr>
    </w:tbl>
    <w:p w14:paraId="76129840" w14:textId="77777777" w:rsidR="004C7B8C" w:rsidRPr="004C7B8C" w:rsidRDefault="004C7B8C" w:rsidP="004C7B8C">
      <w:pPr>
        <w:rPr>
          <w:lang w:val="en-US"/>
        </w:rPr>
      </w:pPr>
      <w:r w:rsidRPr="004C7B8C">
        <w:rPr>
          <w:lang w:val="en-US"/>
        </w:rPr>
        <w:t xml:space="preserve">Source: National Industrial Classification (2008) in NSS, 2014. </w:t>
      </w:r>
    </w:p>
    <w:p w14:paraId="4267C423" w14:textId="69922B69" w:rsidR="004C7B8C" w:rsidRPr="004C7B8C" w:rsidRDefault="004C7B8C" w:rsidP="004C7B8C">
      <w:pPr>
        <w:rPr>
          <w:lang w:val="en-US"/>
        </w:rPr>
      </w:pPr>
      <w:r w:rsidRPr="004C7B8C">
        <w:rPr>
          <w:lang w:val="en-US"/>
        </w:rPr>
        <w:t xml:space="preserve">As the table above illustrates numerically our sample is representative of a very small segment of workers in India’s urban labor market. Nevertheless, their </w:t>
      </w:r>
      <w:r w:rsidR="008C1E56">
        <w:rPr>
          <w:lang w:val="en-US"/>
        </w:rPr>
        <w:t>significance</w:t>
      </w:r>
      <w:r w:rsidR="008C1E56" w:rsidRPr="004C7B8C">
        <w:rPr>
          <w:lang w:val="en-US"/>
        </w:rPr>
        <w:t xml:space="preserve"> </w:t>
      </w:r>
      <w:r w:rsidRPr="004C7B8C">
        <w:rPr>
          <w:lang w:val="en-US"/>
        </w:rPr>
        <w:t xml:space="preserve">derives from the fact that these workers who support the IT/ITES industry are on one hand invisibilized, yet on the other hand their individual success stories have come to symbolize new discourses of progress, entrepreneurialism and modernity linked to neoliberalism in India. </w:t>
      </w:r>
    </w:p>
    <w:p w14:paraId="21DC5A58" w14:textId="77777777" w:rsidR="004C7B8C" w:rsidRPr="004C7B8C" w:rsidRDefault="004C7B8C" w:rsidP="004C7B8C">
      <w:pPr>
        <w:rPr>
          <w:b/>
          <w:lang w:val="en-US"/>
        </w:rPr>
      </w:pPr>
    </w:p>
    <w:p w14:paraId="1D829D77" w14:textId="77777777" w:rsidR="004C7B8C" w:rsidRPr="004C7B8C" w:rsidRDefault="004C7B8C" w:rsidP="004C7B8C">
      <w:pPr>
        <w:rPr>
          <w:b/>
          <w:lang w:val="en-US"/>
        </w:rPr>
      </w:pPr>
    </w:p>
    <w:p w14:paraId="36DF9A40" w14:textId="77777777" w:rsidR="00E06F75" w:rsidRPr="004C7B8C" w:rsidRDefault="00E06F75">
      <w:pPr>
        <w:rPr>
          <w:lang w:val="en-US"/>
        </w:rPr>
      </w:pPr>
    </w:p>
    <w:sectPr w:rsidR="00E06F75" w:rsidRPr="004C7B8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Yu Mincho">
    <w:altName w:val="游明朝"/>
    <w:panose1 w:val="00000000000000000000"/>
    <w:charset w:val="80"/>
    <w:family w:val="roman"/>
    <w:notTrueType/>
    <w:pitch w:val="default"/>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8"/>
  <w:doNotDisplayPageBoundaries/>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B8C"/>
    <w:rsid w:val="00295728"/>
    <w:rsid w:val="00371034"/>
    <w:rsid w:val="003F775E"/>
    <w:rsid w:val="004C7B8C"/>
    <w:rsid w:val="005A21B6"/>
    <w:rsid w:val="0070239A"/>
    <w:rsid w:val="007B2C3E"/>
    <w:rsid w:val="008C1E56"/>
    <w:rsid w:val="008F62DF"/>
    <w:rsid w:val="00B53E49"/>
    <w:rsid w:val="00C305C6"/>
    <w:rsid w:val="00E06F75"/>
    <w:rsid w:val="00FA5C8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C1A782"/>
  <w15:docId w15:val="{C879283E-58DA-4E9C-BC9F-708E4D69A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6"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728"/>
    <w:pPr>
      <w:spacing w:line="25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6"/>
    <w:rsid w:val="00295728"/>
    <w:pPr>
      <w:spacing w:after="0" w:line="240" w:lineRule="auto"/>
    </w:pPr>
    <w:rPr>
      <w:rFonts w:cs="Segoe UI"/>
      <w:szCs w:val="18"/>
    </w:rPr>
  </w:style>
  <w:style w:type="character" w:customStyle="1" w:styleId="BalloonTextChar">
    <w:name w:val="Balloon Text Char"/>
    <w:basedOn w:val="DefaultParagraphFont"/>
    <w:link w:val="BalloonText"/>
    <w:uiPriority w:val="96"/>
    <w:rsid w:val="00295728"/>
    <w:rPr>
      <w:rFonts w:ascii="Times New Roman" w:hAnsi="Times New Roman" w:cs="Segoe UI"/>
      <w:sz w:val="24"/>
      <w:szCs w:val="18"/>
    </w:rPr>
  </w:style>
  <w:style w:type="character" w:customStyle="1" w:styleId="UnresolvedMention">
    <w:name w:val="Unresolved Mention"/>
    <w:basedOn w:val="DefaultParagraphFont"/>
    <w:uiPriority w:val="99"/>
    <w:semiHidden/>
    <w:unhideWhenUsed/>
    <w:rsid w:val="00295728"/>
    <w:rPr>
      <w:color w:val="808080"/>
      <w:shd w:val="clear" w:color="auto" w:fill="E6E6E6"/>
    </w:rPr>
  </w:style>
  <w:style w:type="character" w:customStyle="1" w:styleId="apple-tab-span">
    <w:name w:val="apple-tab-span"/>
    <w:basedOn w:val="DefaultParagraphFont"/>
    <w:rsid w:val="00295728"/>
  </w:style>
  <w:style w:type="paragraph" w:styleId="CommentText">
    <w:name w:val="annotation text"/>
    <w:basedOn w:val="Normal"/>
    <w:link w:val="CommentTextChar"/>
    <w:uiPriority w:val="99"/>
    <w:semiHidden/>
    <w:unhideWhenUsed/>
    <w:rsid w:val="00295728"/>
    <w:pPr>
      <w:spacing w:line="240" w:lineRule="auto"/>
    </w:pPr>
    <w:rPr>
      <w:sz w:val="20"/>
      <w:szCs w:val="20"/>
    </w:rPr>
  </w:style>
  <w:style w:type="character" w:customStyle="1" w:styleId="CommentTextChar">
    <w:name w:val="Comment Text Char"/>
    <w:basedOn w:val="DefaultParagraphFont"/>
    <w:link w:val="CommentText"/>
    <w:uiPriority w:val="99"/>
    <w:semiHidden/>
    <w:rsid w:val="00295728"/>
    <w:rPr>
      <w:rFonts w:ascii="Times New Roman" w:hAnsi="Times New Roman"/>
      <w:sz w:val="20"/>
      <w:szCs w:val="20"/>
    </w:rPr>
  </w:style>
  <w:style w:type="character" w:styleId="CommentReference">
    <w:name w:val="annotation reference"/>
    <w:basedOn w:val="DefaultParagraphFont"/>
    <w:uiPriority w:val="99"/>
    <w:semiHidden/>
    <w:unhideWhenUsed/>
    <w:rsid w:val="00295728"/>
    <w:rPr>
      <w:sz w:val="16"/>
      <w:szCs w:val="16"/>
    </w:rPr>
  </w:style>
  <w:style w:type="character" w:styleId="Hyperlink">
    <w:name w:val="Hyperlink"/>
    <w:basedOn w:val="DefaultParagraphFont"/>
    <w:uiPriority w:val="99"/>
    <w:unhideWhenUsed/>
    <w:rsid w:val="00295728"/>
    <w:rPr>
      <w:color w:val="0563C1" w:themeColor="hyperlink"/>
      <w:u w:val="single"/>
    </w:rPr>
  </w:style>
  <w:style w:type="paragraph" w:styleId="NormalWeb">
    <w:name w:val="Normal (Web)"/>
    <w:basedOn w:val="Normal"/>
    <w:uiPriority w:val="99"/>
    <w:semiHidden/>
    <w:unhideWhenUsed/>
    <w:rsid w:val="00295728"/>
    <w:pPr>
      <w:spacing w:before="100" w:beforeAutospacing="1" w:after="100" w:afterAutospacing="1" w:line="240" w:lineRule="auto"/>
    </w:pPr>
    <w:rPr>
      <w:rFonts w:eastAsia="Times New Roman" w:cs="Times New Roman"/>
      <w:szCs w:val="24"/>
      <w:lang w:eastAsia="en-CA"/>
    </w:rPr>
  </w:style>
  <w:style w:type="paragraph" w:styleId="CommentSubject">
    <w:name w:val="annotation subject"/>
    <w:basedOn w:val="CommentText"/>
    <w:next w:val="CommentText"/>
    <w:link w:val="CommentSubjectChar"/>
    <w:uiPriority w:val="99"/>
    <w:semiHidden/>
    <w:unhideWhenUsed/>
    <w:rsid w:val="00295728"/>
    <w:rPr>
      <w:b/>
      <w:bCs/>
    </w:rPr>
  </w:style>
  <w:style w:type="character" w:customStyle="1" w:styleId="CommentSubjectChar">
    <w:name w:val="Comment Subject Char"/>
    <w:basedOn w:val="CommentTextChar"/>
    <w:link w:val="CommentSubject"/>
    <w:uiPriority w:val="99"/>
    <w:semiHidden/>
    <w:rsid w:val="00295728"/>
    <w:rPr>
      <w:rFonts w:ascii="Times New Roman" w:hAnsi="Times New Roman"/>
      <w:b/>
      <w:bCs/>
      <w:sz w:val="20"/>
      <w:szCs w:val="20"/>
    </w:rPr>
  </w:style>
  <w:style w:type="paragraph" w:styleId="ListParagraph">
    <w:name w:val="List Paragraph"/>
    <w:basedOn w:val="Normal"/>
    <w:uiPriority w:val="34"/>
    <w:qFormat/>
    <w:rsid w:val="00295728"/>
    <w:pPr>
      <w:ind w:left="720"/>
      <w:contextualSpacing/>
    </w:pPr>
  </w:style>
  <w:style w:type="table" w:styleId="TableGrid">
    <w:name w:val="Table Grid"/>
    <w:basedOn w:val="TableNormal"/>
    <w:uiPriority w:val="59"/>
    <w:rsid w:val="004C7B8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1522</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OISE U of T</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Mirchandani</dc:creator>
  <cp:keywords/>
  <dc:description/>
  <cp:lastModifiedBy>Kiran Mirchandani</cp:lastModifiedBy>
  <cp:revision>2</cp:revision>
  <dcterms:created xsi:type="dcterms:W3CDTF">2019-04-29T21:04:00Z</dcterms:created>
  <dcterms:modified xsi:type="dcterms:W3CDTF">2019-04-29T21:04:00Z</dcterms:modified>
</cp:coreProperties>
</file>