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888C" w14:textId="77777777" w:rsidR="009B0CF3" w:rsidRDefault="009B0CF3" w:rsidP="009B0CF3">
      <w:pPr>
        <w:rPr>
          <w:b/>
        </w:rPr>
      </w:pPr>
      <w:r>
        <w:rPr>
          <w:b/>
        </w:rPr>
        <w:t>Chapter 13 Mitochondria, Chloroplasts, and Peroxisomes</w:t>
      </w:r>
    </w:p>
    <w:p w14:paraId="4A1A2F36" w14:textId="77777777" w:rsidR="009B0CF3" w:rsidRDefault="009B0CF3" w:rsidP="009B0CF3">
      <w:pPr>
        <w:rPr>
          <w:b/>
        </w:rPr>
      </w:pPr>
    </w:p>
    <w:p w14:paraId="699207FA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r>
        <w:rPr>
          <w:b/>
        </w:rPr>
        <w:t>13.1 Mitochondria</w:t>
      </w:r>
    </w:p>
    <w:p w14:paraId="2248E819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Bakelar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J., S. K.  Buchanan and N.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Noinaj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2016. The structure of the </w:t>
      </w:r>
      <w:r w:rsidRPr="005111C9">
        <w:rPr>
          <w:rFonts w:ascii="Symbol" w:hAnsi="Symbol" w:cs="PalatinoLTStd-Roman"/>
          <w:sz w:val="16"/>
          <w:szCs w:val="16"/>
        </w:rPr>
        <w:t></w:t>
      </w:r>
      <w:r>
        <w:rPr>
          <w:rFonts w:ascii="PalatinoLTStd-Roman" w:hAnsi="PalatinoLTStd-Roman" w:cs="PalatinoLTStd-Roman"/>
          <w:sz w:val="16"/>
          <w:szCs w:val="16"/>
        </w:rPr>
        <w:t xml:space="preserve">-barrel assembly machinery complex.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351: 180-186. [R]</w:t>
      </w:r>
    </w:p>
    <w:p w14:paraId="61FCDE99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</w:p>
    <w:p w14:paraId="3CF4736A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Blackstone, C. and C. R. Chang. 2011. Mitochondria unite to survive.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Cell Biol. </w:t>
      </w:r>
      <w:r>
        <w:rPr>
          <w:rFonts w:ascii="PalatinoLTStd-Roman" w:hAnsi="PalatinoLTStd-Roman" w:cs="PalatinoLTStd-Roman"/>
          <w:sz w:val="16"/>
          <w:szCs w:val="16"/>
        </w:rPr>
        <w:t>13: 521–522. [R]</w:t>
      </w:r>
    </w:p>
    <w:p w14:paraId="08FC8F90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</w:p>
    <w:p w14:paraId="5C1C49EC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Chacinska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A., C. M. Koehler, D.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Milenkovic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T. Lithgow and N.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Pfanner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2009. Importing mitochondrial proteins: machineries and mechanisms.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138: 628–644. [R]</w:t>
      </w:r>
    </w:p>
    <w:p w14:paraId="444CCEEE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</w:p>
    <w:p w14:paraId="51AB6563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Chen, X. J. and R. A.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Butow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2005. The organization and inheritance of the mitochondrial genome.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Genet. </w:t>
      </w:r>
      <w:r>
        <w:rPr>
          <w:rFonts w:ascii="PalatinoLTStd-Roman" w:hAnsi="PalatinoLTStd-Roman" w:cs="PalatinoLTStd-Roman"/>
          <w:sz w:val="16"/>
          <w:szCs w:val="16"/>
        </w:rPr>
        <w:t>6: 815–825. [R]</w:t>
      </w:r>
    </w:p>
    <w:p w14:paraId="375D7A81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</w:p>
    <w:p w14:paraId="18318427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Claiborne, A. B., R. A. English and J. P. Kahn. 2016. Finding an ethical path forward for mitochondrial replacement.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351: 668-670. [R]</w:t>
      </w:r>
    </w:p>
    <w:p w14:paraId="3EA7851D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</w:p>
    <w:p w14:paraId="3BAA852C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Cogliati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S., J. A. Enriquez and L.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Scorrano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2016.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Trends </w:t>
      </w:r>
      <w:proofErr w:type="spellStart"/>
      <w:r>
        <w:rPr>
          <w:rFonts w:ascii="PalatinoLTStd-Roman" w:hAnsi="PalatinoLTStd-Roman" w:cs="PalatinoLTStd-Roman"/>
          <w:i/>
          <w:sz w:val="16"/>
          <w:szCs w:val="16"/>
        </w:rPr>
        <w:t>Biochem</w:t>
      </w:r>
      <w:proofErr w:type="spellEnd"/>
      <w:r>
        <w:rPr>
          <w:rFonts w:ascii="PalatinoLTStd-Roman" w:hAnsi="PalatinoLTStd-Roman" w:cs="PalatinoLTStd-Roman"/>
          <w:i/>
          <w:sz w:val="16"/>
          <w:szCs w:val="16"/>
        </w:rPr>
        <w:t xml:space="preserve">. Sci. </w:t>
      </w:r>
      <w:r>
        <w:rPr>
          <w:rFonts w:ascii="PalatinoLTStd-Roman" w:hAnsi="PalatinoLTStd-Roman" w:cs="PalatinoLTStd-Roman"/>
          <w:sz w:val="16"/>
          <w:szCs w:val="16"/>
        </w:rPr>
        <w:t>41: 261-273. [R]</w:t>
      </w:r>
    </w:p>
    <w:p w14:paraId="17C3C872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</w:p>
    <w:p w14:paraId="4CED80A0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Dudek, J., P.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Rehling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M. van der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Laan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2013. Mitochondrial protein import: common principles and physiological networks.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Biochim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Biophys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Acta </w:t>
      </w:r>
      <w:r>
        <w:rPr>
          <w:rFonts w:ascii="PalatinoLTStd-Roman" w:hAnsi="PalatinoLTStd-Roman" w:cs="PalatinoLTStd-Roman"/>
          <w:sz w:val="16"/>
          <w:szCs w:val="16"/>
        </w:rPr>
        <w:t>1833: 274–285. [R]</w:t>
      </w:r>
    </w:p>
    <w:p w14:paraId="4E6C5157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</w:p>
    <w:p w14:paraId="2C7960EE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Farrar, G. J., N.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Chadderton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P. F. Kenna and S. Millington-Ward. 2013. Mitochondrial disorders: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aetiologies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model systems, and candidate therapies.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Genet. </w:t>
      </w:r>
      <w:r>
        <w:rPr>
          <w:rFonts w:ascii="PalatinoLTStd-Roman" w:hAnsi="PalatinoLTStd-Roman" w:cs="PalatinoLTStd-Roman"/>
          <w:sz w:val="16"/>
          <w:szCs w:val="16"/>
        </w:rPr>
        <w:t>29: 488–497.</w:t>
      </w:r>
    </w:p>
    <w:p w14:paraId="47885AA2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</w:p>
    <w:p w14:paraId="5509E054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Friedman, J. R. and J.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Nunnari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2014. Mitochondrial form and function.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505: 335–343. [R]</w:t>
      </w:r>
    </w:p>
    <w:p w14:paraId="76EFCA6F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</w:p>
    <w:p w14:paraId="6835EEF2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Lev, S. 2010. Non-vesicular lipid transport by lipid-transport proteins and beyond.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11: 739–750. [R]</w:t>
      </w:r>
    </w:p>
    <w:p w14:paraId="781CA608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</w:p>
    <w:p w14:paraId="7E1A853A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Lightowlers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R. N., R. W. Taylor and D. M. Turnbull. 2015. Mutations causing mitochondrial disease: what is new and what challenges remain?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Science </w:t>
      </w:r>
      <w:r>
        <w:rPr>
          <w:rFonts w:ascii="PalatinoLTStd-Roman" w:hAnsi="PalatinoLTStd-Roman" w:cs="PalatinoLTStd-Roman"/>
          <w:sz w:val="16"/>
          <w:szCs w:val="16"/>
        </w:rPr>
        <w:t>349: 1494-1499. [R]</w:t>
      </w:r>
    </w:p>
    <w:p w14:paraId="5A75F9E1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</w:p>
    <w:p w14:paraId="7B0017A8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Mishra, P. and D. C. Chan. 2014. Mitochondrial dynamics and inheritance during cell division, development and disease.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Nature Rev. Mol. Cell Biol. </w:t>
      </w:r>
      <w:r>
        <w:rPr>
          <w:rFonts w:ascii="PalatinoLTStd-Roman" w:hAnsi="PalatinoLTStd-Roman" w:cs="PalatinoLTStd-Roman"/>
          <w:sz w:val="16"/>
          <w:szCs w:val="16"/>
        </w:rPr>
        <w:t>15: 634–646. [R]</w:t>
      </w:r>
    </w:p>
    <w:p w14:paraId="4D988FF3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</w:p>
    <w:p w14:paraId="70D74A4C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Mokranjac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D. and W.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Neupert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2015. Architecture of a protein entry gate. </w:t>
      </w:r>
      <w:r>
        <w:rPr>
          <w:rFonts w:ascii="PalatinoLTStd-Roman" w:hAnsi="PalatinoLTStd-Roman" w:cs="PalatinoLTStd-Roman"/>
          <w:i/>
          <w:sz w:val="16"/>
          <w:szCs w:val="16"/>
        </w:rPr>
        <w:t xml:space="preserve">Nature </w:t>
      </w:r>
      <w:r>
        <w:rPr>
          <w:rFonts w:ascii="PalatinoLTStd-Roman" w:hAnsi="PalatinoLTStd-Roman" w:cs="PalatinoLTStd-Roman"/>
          <w:sz w:val="16"/>
          <w:szCs w:val="16"/>
        </w:rPr>
        <w:t>528: 201-202. [R]</w:t>
      </w:r>
    </w:p>
    <w:p w14:paraId="0E4A2A77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</w:p>
    <w:p w14:paraId="4E4BDD96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lastRenderedPageBreak/>
        <w:t>Neupert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W. and J. M. Herrmann. 2007. Translocation of proteins into mitochondria.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76: 723–749. [R]</w:t>
      </w:r>
    </w:p>
    <w:p w14:paraId="4F80B2D6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</w:p>
    <w:p w14:paraId="17599270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Park, C. B. and N.G. Larsson. 2011. Mitochondrial DNA mutations in disease and aging.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J. Cell Biol. </w:t>
      </w:r>
      <w:r>
        <w:rPr>
          <w:rFonts w:ascii="PalatinoLTStd-Roman" w:hAnsi="PalatinoLTStd-Roman" w:cs="PalatinoLTStd-Roman"/>
          <w:sz w:val="16"/>
          <w:szCs w:val="16"/>
        </w:rPr>
        <w:t>193: 809–818. [R]</w:t>
      </w:r>
    </w:p>
    <w:p w14:paraId="62538C3B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</w:p>
    <w:p w14:paraId="3A37A074" w14:textId="77777777" w:rsidR="009B0CF3" w:rsidRDefault="009B0CF3" w:rsidP="009B0CF3">
      <w:pPr>
        <w:rPr>
          <w:rFonts w:ascii="PalatinoLTStd-Bold" w:hAnsi="PalatinoLTStd-Bold" w:cs="PalatinoLTStd-Bold"/>
          <w:bCs/>
          <w:sz w:val="16"/>
          <w:szCs w:val="16"/>
        </w:rPr>
      </w:pPr>
      <w:r w:rsidRPr="00E02A76">
        <w:rPr>
          <w:rFonts w:ascii="PalatinoLTStd-Bold" w:hAnsi="PalatinoLTStd-Bold" w:cs="PalatinoLTStd-Bold"/>
          <w:bCs/>
          <w:sz w:val="16"/>
          <w:szCs w:val="16"/>
        </w:rPr>
        <w:t xml:space="preserve">Schmidt, O., N. </w:t>
      </w:r>
      <w:proofErr w:type="spellStart"/>
      <w:r w:rsidRPr="00E02A76">
        <w:rPr>
          <w:rFonts w:ascii="PalatinoLTStd-Bold" w:hAnsi="PalatinoLTStd-Bold" w:cs="PalatinoLTStd-Bold"/>
          <w:bCs/>
          <w:sz w:val="16"/>
          <w:szCs w:val="16"/>
        </w:rPr>
        <w:t>Pfanner</w:t>
      </w:r>
      <w:proofErr w:type="spellEnd"/>
      <w:r w:rsidRPr="00E02A76">
        <w:rPr>
          <w:rFonts w:ascii="PalatinoLTStd-Bold" w:hAnsi="PalatinoLTStd-Bold" w:cs="PalatinoLTStd-Bold"/>
          <w:bCs/>
          <w:sz w:val="16"/>
          <w:szCs w:val="16"/>
        </w:rPr>
        <w:t xml:space="preserve"> and C. </w:t>
      </w:r>
      <w:proofErr w:type="spellStart"/>
      <w:r w:rsidRPr="00E02A76">
        <w:rPr>
          <w:rFonts w:ascii="PalatinoLTStd-Bold" w:hAnsi="PalatinoLTStd-Bold" w:cs="PalatinoLTStd-Bold"/>
          <w:bCs/>
          <w:sz w:val="16"/>
          <w:szCs w:val="16"/>
        </w:rPr>
        <w:t>Meisinger</w:t>
      </w:r>
      <w:proofErr w:type="spellEnd"/>
      <w:r w:rsidRPr="00E02A76">
        <w:rPr>
          <w:rFonts w:ascii="PalatinoLTStd-Bold" w:hAnsi="PalatinoLTStd-Bold" w:cs="PalatinoLTStd-Bold"/>
          <w:bCs/>
          <w:sz w:val="16"/>
          <w:szCs w:val="16"/>
        </w:rPr>
        <w:t>.</w:t>
      </w:r>
      <w:r>
        <w:rPr>
          <w:rFonts w:ascii="PalatinoLTStd-Bold" w:hAnsi="PalatinoLTStd-Bold" w:cs="PalatinoLTStd-Bold"/>
          <w:bCs/>
          <w:sz w:val="16"/>
          <w:szCs w:val="16"/>
        </w:rPr>
        <w:t xml:space="preserve"> </w:t>
      </w:r>
      <w:r w:rsidRPr="00E02A76">
        <w:rPr>
          <w:rFonts w:ascii="PalatinoLTStd-Bold" w:hAnsi="PalatinoLTStd-Bold" w:cs="PalatinoLTStd-Bold"/>
          <w:bCs/>
          <w:sz w:val="16"/>
          <w:szCs w:val="16"/>
        </w:rPr>
        <w:t>2010. Mitochondrial protein import:</w:t>
      </w:r>
      <w:r>
        <w:rPr>
          <w:rFonts w:ascii="PalatinoLTStd-Bold" w:hAnsi="PalatinoLTStd-Bold" w:cs="PalatinoLTStd-Bold"/>
          <w:bCs/>
          <w:sz w:val="16"/>
          <w:szCs w:val="16"/>
        </w:rPr>
        <w:t xml:space="preserve"> </w:t>
      </w:r>
      <w:r w:rsidRPr="00E02A76">
        <w:rPr>
          <w:rFonts w:ascii="PalatinoLTStd-Bold" w:hAnsi="PalatinoLTStd-Bold" w:cs="PalatinoLTStd-Bold"/>
          <w:bCs/>
          <w:sz w:val="16"/>
          <w:szCs w:val="16"/>
        </w:rPr>
        <w:t>from proteomics to functional mechanisms.</w:t>
      </w:r>
      <w:r>
        <w:rPr>
          <w:rFonts w:ascii="PalatinoLTStd-Bold" w:hAnsi="PalatinoLTStd-Bold" w:cs="PalatinoLTStd-Bold"/>
          <w:bCs/>
          <w:sz w:val="16"/>
          <w:szCs w:val="16"/>
        </w:rPr>
        <w:t xml:space="preserve"> </w:t>
      </w:r>
      <w:r w:rsidRPr="00E02A76">
        <w:rPr>
          <w:rFonts w:ascii="PalatinoLTStd-BoldItalic" w:hAnsi="PalatinoLTStd-BoldItalic" w:cs="PalatinoLTStd-BoldItalic"/>
          <w:bCs/>
          <w:i/>
          <w:iCs/>
          <w:sz w:val="16"/>
          <w:szCs w:val="16"/>
        </w:rPr>
        <w:t xml:space="preserve">Nature Rev. Mol. Cell Biol. </w:t>
      </w:r>
      <w:r w:rsidRPr="00E02A76">
        <w:rPr>
          <w:rFonts w:ascii="PalatinoLTStd-Bold" w:hAnsi="PalatinoLTStd-Bold" w:cs="PalatinoLTStd-Bold"/>
          <w:bCs/>
          <w:sz w:val="16"/>
          <w:szCs w:val="16"/>
        </w:rPr>
        <w:t>11:</w:t>
      </w:r>
      <w:r>
        <w:rPr>
          <w:rFonts w:ascii="PalatinoLTStd-Bold" w:hAnsi="PalatinoLTStd-Bold" w:cs="PalatinoLTStd-Bold"/>
          <w:bCs/>
          <w:sz w:val="16"/>
          <w:szCs w:val="16"/>
        </w:rPr>
        <w:t xml:space="preserve"> </w:t>
      </w:r>
      <w:r w:rsidRPr="00E02A76">
        <w:rPr>
          <w:rFonts w:ascii="PalatinoLTStd-Bold" w:hAnsi="PalatinoLTStd-Bold" w:cs="PalatinoLTStd-Bold"/>
          <w:bCs/>
          <w:sz w:val="16"/>
          <w:szCs w:val="16"/>
        </w:rPr>
        <w:t>655–667. [R]</w:t>
      </w:r>
    </w:p>
    <w:p w14:paraId="03136700" w14:textId="77777777" w:rsidR="009B0CF3" w:rsidRDefault="009B0CF3" w:rsidP="009B0CF3">
      <w:pPr>
        <w:rPr>
          <w:rFonts w:ascii="PalatinoLTStd-Bold" w:hAnsi="PalatinoLTStd-Bold" w:cs="PalatinoLTStd-Bold"/>
          <w:bCs/>
          <w:sz w:val="16"/>
          <w:szCs w:val="16"/>
        </w:rPr>
      </w:pPr>
    </w:p>
    <w:p w14:paraId="1A630AD9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Tatsuta, T.,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Scharwey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T. Langer. 2014. Mitochondrial lipid trafficking.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Cell Biol. </w:t>
      </w:r>
      <w:r>
        <w:rPr>
          <w:rFonts w:ascii="PalatinoLTStd-Roman" w:hAnsi="PalatinoLTStd-Roman" w:cs="PalatinoLTStd-Roman"/>
          <w:sz w:val="16"/>
          <w:szCs w:val="16"/>
        </w:rPr>
        <w:t>24: 44–52. [R]</w:t>
      </w:r>
    </w:p>
    <w:p w14:paraId="64A3E1E0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</w:p>
    <w:p w14:paraId="7E1D444F" w14:textId="77777777" w:rsidR="009B0CF3" w:rsidRDefault="009B0CF3" w:rsidP="009B0CF3">
      <w:pPr>
        <w:rPr>
          <w:rFonts w:ascii="CronosPro-Bold" w:hAnsi="CronosPro-Bold" w:cs="CronosPro-Bold"/>
          <w:b/>
          <w:bCs/>
          <w:sz w:val="20"/>
          <w:szCs w:val="20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>13.2 Chloroplasts and Other Plastids</w:t>
      </w:r>
    </w:p>
    <w:p w14:paraId="43D28728" w14:textId="77777777" w:rsidR="009B0CF3" w:rsidRDefault="009B0CF3" w:rsidP="009B0CF3">
      <w:pPr>
        <w:rPr>
          <w:rFonts w:ascii="CronosPro-Bold" w:hAnsi="CronosPro-Bold" w:cs="CronosPro-Bold"/>
          <w:b/>
          <w:bCs/>
          <w:sz w:val="20"/>
          <w:szCs w:val="20"/>
        </w:rPr>
      </w:pPr>
    </w:p>
    <w:p w14:paraId="7E97D821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Albiniak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A. M., J.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Baglieri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C. Robinson. 2012. Targeting of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lumenal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proteins across the thylakoid membrane.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J. Exptl. Botany </w:t>
      </w:r>
      <w:r>
        <w:rPr>
          <w:rFonts w:ascii="PalatinoLTStd-Roman" w:hAnsi="PalatinoLTStd-Roman" w:cs="PalatinoLTStd-Roman"/>
          <w:sz w:val="16"/>
          <w:szCs w:val="16"/>
        </w:rPr>
        <w:t>63: 1689–1698. [R]</w:t>
      </w:r>
    </w:p>
    <w:p w14:paraId="224B5896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</w:p>
    <w:p w14:paraId="3F9229DD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Andres, C., B.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Agne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F. Kessler. 2010. The TOC complex: preprotein gateway to the chloroplast.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Biochim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Biophys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Acta </w:t>
      </w:r>
      <w:r>
        <w:rPr>
          <w:rFonts w:ascii="PalatinoLTStd-Roman" w:hAnsi="PalatinoLTStd-Roman" w:cs="PalatinoLTStd-Roman"/>
          <w:sz w:val="16"/>
          <w:szCs w:val="16"/>
        </w:rPr>
        <w:t>1803: 715–723. [R]</w:t>
      </w:r>
    </w:p>
    <w:p w14:paraId="655CE60A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</w:p>
    <w:p w14:paraId="37F1F6E8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Flores-Pérez, U. and P. Jarvis. 2013. Molecular chaperone involvement in chloroplast protein import.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Biochim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Biophys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Acta </w:t>
      </w:r>
      <w:r>
        <w:rPr>
          <w:rFonts w:ascii="PalatinoLTStd-Roman" w:hAnsi="PalatinoLTStd-Roman" w:cs="PalatinoLTStd-Roman"/>
          <w:sz w:val="16"/>
          <w:szCs w:val="16"/>
        </w:rPr>
        <w:t>1833: 332–340. [R]</w:t>
      </w:r>
    </w:p>
    <w:p w14:paraId="589A03FD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</w:p>
    <w:p w14:paraId="2797D55B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Green, B. R. 2011. Chloroplast genomes of photosynthetic eukaryotes.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Plant J. </w:t>
      </w:r>
      <w:r>
        <w:rPr>
          <w:rFonts w:ascii="PalatinoLTStd-Roman" w:hAnsi="PalatinoLTStd-Roman" w:cs="PalatinoLTStd-Roman"/>
          <w:sz w:val="16"/>
          <w:szCs w:val="16"/>
        </w:rPr>
        <w:t>66: 34–44. [R]</w:t>
      </w:r>
    </w:p>
    <w:p w14:paraId="06E0D2BD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</w:p>
    <w:p w14:paraId="7A01457E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Inoue, K. 2011. Emerging roles of the chloroplast outer envelope membrane.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Trends Plant Sci. </w:t>
      </w:r>
      <w:r>
        <w:rPr>
          <w:rFonts w:ascii="PalatinoLTStd-Roman" w:hAnsi="PalatinoLTStd-Roman" w:cs="PalatinoLTStd-Roman"/>
          <w:sz w:val="16"/>
          <w:szCs w:val="16"/>
        </w:rPr>
        <w:t>16: 550–557. [R]</w:t>
      </w:r>
    </w:p>
    <w:p w14:paraId="1DD3F2C1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</w:p>
    <w:p w14:paraId="671492E1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Lee, D. W., C. Jung and I. Hwang. 2013. Cytosolic events involved in chloroplast protein targeting.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Biochim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Biophys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Acta </w:t>
      </w:r>
      <w:r>
        <w:rPr>
          <w:rFonts w:ascii="PalatinoLTStd-Roman" w:hAnsi="PalatinoLTStd-Roman" w:cs="PalatinoLTStd-Roman"/>
          <w:sz w:val="16"/>
          <w:szCs w:val="16"/>
        </w:rPr>
        <w:t>1833: 245–252. [R]</w:t>
      </w:r>
    </w:p>
    <w:p w14:paraId="1B53A77E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</w:p>
    <w:p w14:paraId="734D59DF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Li, H. M. and C.-C. Chiu. 2010. Protein transport into chloroplasts.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Plant Biol. </w:t>
      </w:r>
      <w:r>
        <w:rPr>
          <w:rFonts w:ascii="PalatinoLTStd-Roman" w:hAnsi="PalatinoLTStd-Roman" w:cs="PalatinoLTStd-Roman"/>
          <w:sz w:val="16"/>
          <w:szCs w:val="16"/>
        </w:rPr>
        <w:t>61: 157–180. [R]</w:t>
      </w:r>
    </w:p>
    <w:p w14:paraId="797DBCB0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</w:p>
    <w:p w14:paraId="67BCB5BB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Shi, L.-X. and S. M.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Theg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2013. The chloroplast protein import system: from algae to trees.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Biochim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Biophys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Acta </w:t>
      </w:r>
      <w:r>
        <w:rPr>
          <w:rFonts w:ascii="PalatinoLTStd-Roman" w:hAnsi="PalatinoLTStd-Roman" w:cs="PalatinoLTStd-Roman"/>
          <w:sz w:val="16"/>
          <w:szCs w:val="16"/>
        </w:rPr>
        <w:t>1833: 314–331. [R]</w:t>
      </w:r>
    </w:p>
    <w:p w14:paraId="4D94A245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</w:p>
    <w:p w14:paraId="5A221B04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Wang, P. and R. E.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Dalbey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2011. Inserting membrane proteins: The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YidC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/Oxa1/ Alb3 machinery in bacteria, mitochondria, and chloroplasts.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Biochim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Biophys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Acta </w:t>
      </w:r>
      <w:r>
        <w:rPr>
          <w:rFonts w:ascii="PalatinoLTStd-Roman" w:hAnsi="PalatinoLTStd-Roman" w:cs="PalatinoLTStd-Roman"/>
          <w:sz w:val="16"/>
          <w:szCs w:val="16"/>
        </w:rPr>
        <w:t>1808: 866–875. [R]</w:t>
      </w:r>
    </w:p>
    <w:p w14:paraId="69733C25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</w:p>
    <w:p w14:paraId="04D75387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CronosPro-Bold" w:hAnsi="CronosPro-Bold" w:cs="CronosPro-Bold"/>
          <w:b/>
          <w:bCs/>
          <w:sz w:val="20"/>
          <w:szCs w:val="20"/>
        </w:rPr>
        <w:t>13.3 Peroxisomes</w:t>
      </w:r>
    </w:p>
    <w:p w14:paraId="53AC0DBA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lastRenderedPageBreak/>
        <w:t xml:space="preserve">Agrawal, G. and S. Subramani. 2013. Emerging role of the endoplasmic reticulum in peroxisome biogenesis.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Front. Physiol. </w:t>
      </w:r>
      <w:r>
        <w:rPr>
          <w:rFonts w:ascii="PalatinoLTStd-Roman" w:hAnsi="PalatinoLTStd-Roman" w:cs="PalatinoLTStd-Roman"/>
          <w:sz w:val="16"/>
          <w:szCs w:val="16"/>
        </w:rPr>
        <w:t>4: 286. [R]</w:t>
      </w:r>
    </w:p>
    <w:p w14:paraId="0A976E71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</w:p>
    <w:p w14:paraId="6E749EAB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Hasan, S., H. W.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Platta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R. Erdmann. 2013. Import of proteins into the peroxisomal matrix.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Front. Physiol. </w:t>
      </w:r>
      <w:r>
        <w:rPr>
          <w:rFonts w:ascii="PalatinoLTStd-Roman" w:hAnsi="PalatinoLTStd-Roman" w:cs="PalatinoLTStd-Roman"/>
          <w:sz w:val="16"/>
          <w:szCs w:val="16"/>
        </w:rPr>
        <w:t>4: 261. [R]</w:t>
      </w:r>
    </w:p>
    <w:p w14:paraId="0AF7FA1D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</w:p>
    <w:p w14:paraId="6642E4E7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proofErr w:type="spellStart"/>
      <w:r>
        <w:rPr>
          <w:rFonts w:ascii="PalatinoLTStd-Roman" w:hAnsi="PalatinoLTStd-Roman" w:cs="PalatinoLTStd-Roman"/>
          <w:sz w:val="16"/>
          <w:szCs w:val="16"/>
        </w:rPr>
        <w:t>Hoepfner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D., D.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Schildknegt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L.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Braakman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, P.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Philippsen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H. F. Tabak. 2005. Contribution of the endoplasmic reticulum to peroxisome formation.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Cell </w:t>
      </w:r>
      <w:r>
        <w:rPr>
          <w:rFonts w:ascii="PalatinoLTStd-Roman" w:hAnsi="PalatinoLTStd-Roman" w:cs="PalatinoLTStd-Roman"/>
          <w:sz w:val="16"/>
          <w:szCs w:val="16"/>
        </w:rPr>
        <w:t>122: 85–95. [P]</w:t>
      </w:r>
    </w:p>
    <w:p w14:paraId="2F545EDD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</w:p>
    <w:p w14:paraId="52C8222B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Tabak, H. F., I.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Braakman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 and A. van der </w:t>
      </w:r>
      <w:proofErr w:type="spellStart"/>
      <w:r>
        <w:rPr>
          <w:rFonts w:ascii="PalatinoLTStd-Roman" w:hAnsi="PalatinoLTStd-Roman" w:cs="PalatinoLTStd-Roman"/>
          <w:sz w:val="16"/>
          <w:szCs w:val="16"/>
        </w:rPr>
        <w:t>Zand</w:t>
      </w:r>
      <w:proofErr w:type="spellEnd"/>
      <w:r>
        <w:rPr>
          <w:rFonts w:ascii="PalatinoLTStd-Roman" w:hAnsi="PalatinoLTStd-Roman" w:cs="PalatinoLTStd-Roman"/>
          <w:sz w:val="16"/>
          <w:szCs w:val="16"/>
        </w:rPr>
        <w:t xml:space="preserve">. 2013. Peroxisome formation and maintenance are dependent on the endoplasmic reticulum. </w:t>
      </w:r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Ann. Rev.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Biochem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. </w:t>
      </w:r>
      <w:r>
        <w:rPr>
          <w:rFonts w:ascii="PalatinoLTStd-Roman" w:hAnsi="PalatinoLTStd-Roman" w:cs="PalatinoLTStd-Roman"/>
          <w:sz w:val="16"/>
          <w:szCs w:val="16"/>
        </w:rPr>
        <w:t>82: 723–744. [R]</w:t>
      </w:r>
    </w:p>
    <w:p w14:paraId="62D3BC50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</w:p>
    <w:p w14:paraId="6FEC2A18" w14:textId="77777777" w:rsidR="009B0CF3" w:rsidRDefault="009B0CF3" w:rsidP="009B0CF3">
      <w:pPr>
        <w:rPr>
          <w:rFonts w:ascii="PalatinoLTStd-Roman" w:hAnsi="PalatinoLTStd-Roman" w:cs="PalatinoLTStd-Roman"/>
          <w:sz w:val="16"/>
          <w:szCs w:val="16"/>
        </w:rPr>
      </w:pPr>
      <w:r>
        <w:rPr>
          <w:rFonts w:ascii="PalatinoLTStd-Roman" w:hAnsi="PalatinoLTStd-Roman" w:cs="PalatinoLTStd-Roman"/>
          <w:sz w:val="16"/>
          <w:szCs w:val="16"/>
        </w:rPr>
        <w:t xml:space="preserve">Wanders, R. J. A. 2014. Metabolic functions of peroxisomes in health and disease. </w:t>
      </w:r>
      <w:proofErr w:type="spellStart"/>
      <w:r>
        <w:rPr>
          <w:rFonts w:ascii="PalatinoLTStd-Italic" w:hAnsi="PalatinoLTStd-Italic" w:cs="PalatinoLTStd-Italic"/>
          <w:i/>
          <w:iCs/>
          <w:sz w:val="16"/>
          <w:szCs w:val="16"/>
        </w:rPr>
        <w:t>Biochimie</w:t>
      </w:r>
      <w:proofErr w:type="spellEnd"/>
      <w:r>
        <w:rPr>
          <w:rFonts w:ascii="PalatinoLTStd-Italic" w:hAnsi="PalatinoLTStd-Italic" w:cs="PalatinoLTStd-Italic"/>
          <w:i/>
          <w:iCs/>
          <w:sz w:val="16"/>
          <w:szCs w:val="16"/>
        </w:rPr>
        <w:t xml:space="preserve"> </w:t>
      </w:r>
      <w:r>
        <w:rPr>
          <w:rFonts w:ascii="PalatinoLTStd-Roman" w:hAnsi="PalatinoLTStd-Roman" w:cs="PalatinoLTStd-Roman"/>
          <w:sz w:val="16"/>
          <w:szCs w:val="16"/>
        </w:rPr>
        <w:t>98: 36–44. [R]</w:t>
      </w:r>
    </w:p>
    <w:p w14:paraId="6ABE5CF9" w14:textId="77777777" w:rsidR="00F06454" w:rsidRDefault="009B0CF3">
      <w:bookmarkStart w:id="0" w:name="_GoBack"/>
      <w:bookmarkEnd w:id="0"/>
    </w:p>
    <w:sectPr w:rsidR="00F0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9" w:csb1="00000000"/>
  </w:font>
  <w:font w:name="PalatinoLTStd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rono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F04C8"/>
    <w:multiLevelType w:val="hybridMultilevel"/>
    <w:tmpl w:val="2DD223E2"/>
    <w:lvl w:ilvl="0" w:tplc="03A072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B62B3"/>
    <w:multiLevelType w:val="multilevel"/>
    <w:tmpl w:val="857EDD54"/>
    <w:lvl w:ilvl="0">
      <w:start w:val="1"/>
      <w:numFmt w:val="decimal"/>
      <w:pStyle w:val="STXQ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F3"/>
    <w:rsid w:val="00274F90"/>
    <w:rsid w:val="002C4E38"/>
    <w:rsid w:val="004042BC"/>
    <w:rsid w:val="0049210C"/>
    <w:rsid w:val="005C6D9C"/>
    <w:rsid w:val="007C4E60"/>
    <w:rsid w:val="009B0CF3"/>
    <w:rsid w:val="00A76456"/>
    <w:rsid w:val="00B0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FBED"/>
  <w15:chartTrackingRefBased/>
  <w15:docId w15:val="{7AA9450E-1FF4-47AD-AC52-E9AC5C42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CF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Other">
    <w:name w:val="Symbol Other"/>
    <w:basedOn w:val="DefaultParagraphFont"/>
    <w:uiPriority w:val="1"/>
    <w:qFormat/>
    <w:rsid w:val="004042BC"/>
    <w:rPr>
      <w:rFonts w:ascii="Times New Roman" w:hAnsi="Times New Roman" w:cs="Symbol"/>
      <w:i w:val="0"/>
      <w:color w:val="00B050"/>
      <w:w w:val="100"/>
    </w:rPr>
  </w:style>
  <w:style w:type="paragraph" w:customStyle="1" w:styleId="STXQL">
    <w:name w:val="STX&gt;QL"/>
    <w:basedOn w:val="Normal"/>
    <w:next w:val="Normal"/>
    <w:autoRedefine/>
    <w:qFormat/>
    <w:rsid w:val="00B00326"/>
    <w:pPr>
      <w:widowControl w:val="0"/>
      <w:numPr>
        <w:numId w:val="2"/>
      </w:numPr>
      <w:spacing w:after="0" w:line="360" w:lineRule="auto"/>
      <w:ind w:hanging="360"/>
    </w:pPr>
    <w:rPr>
      <w:rFonts w:ascii="Times New Roman" w:eastAsia="Times New Roman" w:hAnsi="Times New Roman" w:cs="Times-Roman"/>
      <w:szCs w:val="18"/>
    </w:rPr>
  </w:style>
  <w:style w:type="paragraph" w:customStyle="1" w:styleId="BTXL">
    <w:name w:val="BTX&gt;L"/>
    <w:basedOn w:val="Normal"/>
    <w:next w:val="Normal"/>
    <w:autoRedefine/>
    <w:qFormat/>
    <w:rsid w:val="00274F90"/>
    <w:pPr>
      <w:widowControl w:val="0"/>
      <w:spacing w:after="0" w:line="480" w:lineRule="auto"/>
      <w:ind w:left="720"/>
    </w:pPr>
    <w:rPr>
      <w:rFonts w:ascii="Times New Roman" w:eastAsia="Times New Roman" w:hAnsi="Times New Roman" w:cs="Times New Roman"/>
      <w:sz w:val="18"/>
      <w:lang w:val="en-GB" w:eastAsia="hu-HU"/>
    </w:rPr>
  </w:style>
  <w:style w:type="paragraph" w:customStyle="1" w:styleId="BTXNL">
    <w:name w:val="BTX&gt;NL"/>
    <w:basedOn w:val="Normal"/>
    <w:next w:val="Normal"/>
    <w:autoRedefine/>
    <w:qFormat/>
    <w:rsid w:val="007C4E60"/>
    <w:pPr>
      <w:widowControl w:val="0"/>
      <w:spacing w:after="0" w:line="480" w:lineRule="auto"/>
      <w:ind w:firstLine="28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FMCTPREF">
    <w:name w:val="FMCT:PREF"/>
    <w:basedOn w:val="Normal"/>
    <w:autoRedefine/>
    <w:rsid w:val="0049210C"/>
    <w:pPr>
      <w:widowControl w:val="0"/>
      <w:autoSpaceDE w:val="0"/>
      <w:autoSpaceDN w:val="0"/>
      <w:adjustRightInd w:val="0"/>
      <w:spacing w:after="80" w:line="280" w:lineRule="atLeast"/>
      <w:textAlignment w:val="center"/>
    </w:pPr>
    <w:rPr>
      <w:rFonts w:ascii="Times-BoldItalic" w:eastAsia="Times New Roman" w:hAnsi="Times-BoldItalic" w:cs="Times-BoldItalic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Marton, Tracy</dc:creator>
  <cp:keywords/>
  <dc:description/>
  <cp:lastModifiedBy>Marton, Tracy</cp:lastModifiedBy>
  <cp:revision>1</cp:revision>
  <dcterms:created xsi:type="dcterms:W3CDTF">2018-08-13T13:37:00Z</dcterms:created>
  <dcterms:modified xsi:type="dcterms:W3CDTF">2018-08-13T13:37:00Z</dcterms:modified>
</cp:coreProperties>
</file>