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03D1" w14:textId="77777777" w:rsidR="00B974F1" w:rsidRPr="004469F6" w:rsidRDefault="00B974F1" w:rsidP="00B974F1">
      <w:pPr>
        <w:jc w:val="center"/>
        <w:rPr>
          <w:b/>
          <w:bCs/>
          <w:iCs/>
          <w:sz w:val="28"/>
          <w:szCs w:val="28"/>
        </w:rPr>
      </w:pPr>
      <w:r w:rsidRPr="004469F6">
        <w:rPr>
          <w:b/>
          <w:bCs/>
          <w:iCs/>
          <w:sz w:val="28"/>
          <w:szCs w:val="28"/>
        </w:rPr>
        <w:t>Discussion Questions</w:t>
      </w:r>
    </w:p>
    <w:p w14:paraId="04CA42FE" w14:textId="77777777" w:rsidR="00B974F1" w:rsidRPr="004469F6" w:rsidRDefault="00B974F1" w:rsidP="00B974F1">
      <w:pPr>
        <w:jc w:val="center"/>
        <w:rPr>
          <w:bCs/>
        </w:rPr>
      </w:pPr>
      <w:r w:rsidRPr="004469F6">
        <w:rPr>
          <w:bCs/>
        </w:rPr>
        <w:t>to accompany</w:t>
      </w:r>
    </w:p>
    <w:p w14:paraId="5E78CA7C" w14:textId="77777777" w:rsidR="00B974F1" w:rsidRPr="004469F6" w:rsidRDefault="00B974F1" w:rsidP="00B974F1">
      <w:pPr>
        <w:jc w:val="center"/>
        <w:rPr>
          <w:b/>
          <w:sz w:val="28"/>
          <w:szCs w:val="28"/>
        </w:rPr>
      </w:pPr>
      <w:r w:rsidRPr="004469F6">
        <w:rPr>
          <w:b/>
          <w:i/>
          <w:sz w:val="28"/>
          <w:szCs w:val="28"/>
        </w:rPr>
        <w:t>Animal Behavior,</w:t>
      </w:r>
      <w:r w:rsidRPr="004469F6">
        <w:rPr>
          <w:b/>
          <w:sz w:val="28"/>
          <w:szCs w:val="28"/>
        </w:rPr>
        <w:t xml:space="preserve"> Eleventh Edition</w:t>
      </w:r>
    </w:p>
    <w:p w14:paraId="5AFCEA6F" w14:textId="77777777" w:rsidR="00B974F1" w:rsidRPr="004469F6" w:rsidRDefault="00B974F1" w:rsidP="00B974F1">
      <w:pPr>
        <w:jc w:val="center"/>
        <w:rPr>
          <w:b/>
          <w:bCs/>
          <w:i/>
          <w:iCs/>
          <w:sz w:val="24"/>
          <w:szCs w:val="24"/>
        </w:rPr>
      </w:pPr>
      <w:r w:rsidRPr="004469F6">
        <w:rPr>
          <w:bCs/>
          <w:sz w:val="28"/>
          <w:szCs w:val="28"/>
        </w:rPr>
        <w:t>by Dustin Rubenstein and John Alcock</w:t>
      </w:r>
    </w:p>
    <w:p w14:paraId="33BA9A0A" w14:textId="77777777" w:rsidR="00B974F1" w:rsidRPr="004469F6" w:rsidRDefault="00B974F1" w:rsidP="00B974F1">
      <w:pPr>
        <w:jc w:val="center"/>
        <w:rPr>
          <w:bCs/>
          <w:iCs/>
          <w:sz w:val="24"/>
          <w:szCs w:val="24"/>
        </w:rPr>
      </w:pPr>
    </w:p>
    <w:p w14:paraId="18B432D3" w14:textId="6473B779" w:rsidR="00B974F1" w:rsidRPr="004469F6" w:rsidRDefault="00B974F1" w:rsidP="00B974F1">
      <w:pPr>
        <w:spacing w:after="120"/>
        <w:jc w:val="center"/>
        <w:rPr>
          <w:b/>
          <w:bCs/>
          <w:iCs/>
          <w:sz w:val="28"/>
          <w:szCs w:val="28"/>
        </w:rPr>
      </w:pPr>
      <w:r w:rsidRPr="004469F6">
        <w:rPr>
          <w:b/>
          <w:bCs/>
          <w:iCs/>
          <w:sz w:val="28"/>
          <w:szCs w:val="28"/>
        </w:rPr>
        <w:t>Chapter 1</w:t>
      </w:r>
      <w:r w:rsidR="006278D0">
        <w:rPr>
          <w:b/>
          <w:bCs/>
          <w:iCs/>
          <w:sz w:val="28"/>
          <w:szCs w:val="28"/>
        </w:rPr>
        <w:t>2</w:t>
      </w:r>
    </w:p>
    <w:p w14:paraId="07EF0588" w14:textId="06F2C440" w:rsidR="00B953F1" w:rsidRPr="00B974F1" w:rsidRDefault="00D13F39" w:rsidP="00B953F1">
      <w:pPr>
        <w:jc w:val="center"/>
        <w:rPr>
          <w:b/>
          <w:sz w:val="28"/>
          <w:szCs w:val="28"/>
        </w:rPr>
      </w:pPr>
      <w:r w:rsidRPr="00B974F1">
        <w:rPr>
          <w:b/>
          <w:sz w:val="28"/>
          <w:szCs w:val="28"/>
        </w:rPr>
        <w:t>Principles of Social Evolution</w:t>
      </w:r>
    </w:p>
    <w:p w14:paraId="77B3E20F" w14:textId="77777777" w:rsidR="00B953F1" w:rsidRPr="004E3B74" w:rsidRDefault="00B953F1" w:rsidP="00B953F1">
      <w:pPr>
        <w:rPr>
          <w:sz w:val="24"/>
          <w:szCs w:val="24"/>
        </w:rPr>
      </w:pPr>
    </w:p>
    <w:p w14:paraId="4AF4475E" w14:textId="77777777" w:rsidR="00BC1681" w:rsidRPr="004E3B74" w:rsidRDefault="00BC1681" w:rsidP="00BC1681">
      <w:pPr>
        <w:rPr>
          <w:sz w:val="24"/>
          <w:szCs w:val="24"/>
        </w:rPr>
      </w:pPr>
    </w:p>
    <w:p w14:paraId="1862CCF9" w14:textId="77777777" w:rsidR="00BC1681" w:rsidRPr="004E3B74" w:rsidRDefault="00640493" w:rsidP="00BC1681">
      <w:pPr>
        <w:rPr>
          <w:sz w:val="24"/>
          <w:szCs w:val="24"/>
        </w:rPr>
      </w:pPr>
      <w:r w:rsidRPr="004E3B74">
        <w:rPr>
          <w:sz w:val="24"/>
          <w:szCs w:val="24"/>
        </w:rPr>
        <w:t>12</w:t>
      </w:r>
      <w:r w:rsidR="00BC1681" w:rsidRPr="004E3B74">
        <w:rPr>
          <w:sz w:val="24"/>
          <w:szCs w:val="24"/>
        </w:rPr>
        <w:t>.1 Let’s say that intelligent design theorists are correct in claiming that certain features of living things, such as termite societies composed of 20 million cooperating individuals or the long and convoluted biochemical pathways involved in the production of critical cellular compounds, are so complex that they cannot be explained by evolutionary theorists. Why would Darwinists aware of the logic of the scientific method still be justified in rejecting the assertion that these cases in themselves constitute reason to accept intelligent design theory?</w:t>
      </w:r>
    </w:p>
    <w:p w14:paraId="215E2E8C" w14:textId="77777777" w:rsidR="00BC1681" w:rsidRPr="004E3B74" w:rsidRDefault="00BC1681" w:rsidP="00BC1681">
      <w:pPr>
        <w:rPr>
          <w:sz w:val="24"/>
          <w:szCs w:val="24"/>
        </w:rPr>
      </w:pPr>
    </w:p>
    <w:p w14:paraId="0F14AAD0" w14:textId="77777777" w:rsidR="00B953F1" w:rsidRPr="004E3B74" w:rsidRDefault="00B953F1" w:rsidP="00BC1681">
      <w:pPr>
        <w:rPr>
          <w:sz w:val="24"/>
          <w:szCs w:val="24"/>
        </w:rPr>
      </w:pPr>
    </w:p>
    <w:p w14:paraId="26E996C6" w14:textId="77777777" w:rsidR="00BC1681" w:rsidRPr="004E3B74" w:rsidRDefault="00640493" w:rsidP="00BC1681">
      <w:pPr>
        <w:rPr>
          <w:sz w:val="24"/>
          <w:szCs w:val="24"/>
        </w:rPr>
      </w:pPr>
      <w:r w:rsidRPr="004E3B74">
        <w:rPr>
          <w:sz w:val="24"/>
          <w:szCs w:val="24"/>
        </w:rPr>
        <w:t>12.2</w:t>
      </w:r>
      <w:r w:rsidR="00BC1681" w:rsidRPr="004E3B74">
        <w:rPr>
          <w:sz w:val="24"/>
          <w:szCs w:val="24"/>
        </w:rPr>
        <w:t xml:space="preserve"> In some ant species, several unrelated females may join forces to </w:t>
      </w:r>
      <w:proofErr w:type="gramStart"/>
      <w:r w:rsidR="00BC1681" w:rsidRPr="004E3B74">
        <w:rPr>
          <w:sz w:val="24"/>
          <w:szCs w:val="24"/>
        </w:rPr>
        <w:t>found</w:t>
      </w:r>
      <w:proofErr w:type="gramEnd"/>
      <w:r w:rsidR="00BC1681" w:rsidRPr="004E3B74">
        <w:rPr>
          <w:sz w:val="24"/>
          <w:szCs w:val="24"/>
        </w:rPr>
        <w:t xml:space="preserve"> a colony after they have mated. The females cooperate in digging the nest and producing the first generation of workers, but then they start fighting until only one is left alive. The survival rate of colonies founded by lone females is very low</w:t>
      </w:r>
      <w:r w:rsidRPr="004E3B74">
        <w:rPr>
          <w:sz w:val="24"/>
          <w:szCs w:val="24"/>
        </w:rPr>
        <w:t xml:space="preserve"> </w:t>
      </w:r>
      <w:r w:rsidRPr="004E3B74">
        <w:rPr>
          <w:sz w:val="24"/>
          <w:szCs w:val="24"/>
        </w:rPr>
        <w:fldChar w:fldCharType="begin"/>
      </w:r>
      <w:r w:rsidRPr="004E3B74">
        <w:rPr>
          <w:sz w:val="24"/>
          <w:szCs w:val="24"/>
        </w:rPr>
        <w:instrText xml:space="preserve"> ADDIN EN.CITE &lt;EndNote&gt;&lt;Cite&gt;&lt;Author&gt;Bernasconi&lt;/Author&gt;&lt;Year&gt;1999&lt;/Year&gt;&lt;RecNum&gt;2088&lt;/RecNum&gt;&lt;DisplayText&gt;(Bernasconi and Strassman 1999)&lt;/DisplayText&gt;&lt;record&gt;&lt;rec-number&gt;2088&lt;/rec-number&gt;&lt;foreign-keys&gt;&lt;key app="EN" db-id="05p5axa9u50svsevr58xrzxxfe2zwf9e9tzw" timestamp="1526134152"&gt;2088&lt;/key&gt;&lt;/foreign-keys&gt;&lt;ref-type name="Journal Article"&gt;17&lt;/ref-type&gt;&lt;contributors&gt;&lt;authors&gt;&lt;author&gt;Bernasconi, G&lt;/author&gt;&lt;author&gt;Strassman, J E&lt;/author&gt;&lt;/authors&gt;&lt;/contributors&gt;&lt;titles&gt;&lt;title&gt;Cooperation among unrelated individuals: The ant foundress case&lt;/title&gt;&lt;secondary-title&gt;Trends in Ecology &amp;amp; Evolution&lt;/secondary-title&gt;&lt;/titles&gt;&lt;periodical&gt;&lt;full-title&gt;Trends in Ecology &amp;amp; Evolution&lt;/full-title&gt;&lt;/periodical&gt;&lt;pages&gt;477-482&lt;/pages&gt;&lt;volume&gt;14&lt;/volume&gt;&lt;dates&gt;&lt;year&gt;1999&lt;/year&gt;&lt;/dates&gt;&lt;urls&gt;&lt;/urls&gt;&lt;/record&gt;&lt;/Cite&gt;&lt;/EndNote&gt;</w:instrText>
      </w:r>
      <w:r w:rsidRPr="004E3B74">
        <w:rPr>
          <w:sz w:val="24"/>
          <w:szCs w:val="24"/>
        </w:rPr>
        <w:fldChar w:fldCharType="separate"/>
      </w:r>
      <w:r w:rsidRPr="004E3B74">
        <w:rPr>
          <w:noProof/>
          <w:sz w:val="24"/>
          <w:szCs w:val="24"/>
        </w:rPr>
        <w:t>(Bernasconi and Strassman 1999)</w:t>
      </w:r>
      <w:r w:rsidRPr="004E3B74">
        <w:rPr>
          <w:sz w:val="24"/>
          <w:szCs w:val="24"/>
        </w:rPr>
        <w:fldChar w:fldCharType="end"/>
      </w:r>
      <w:r w:rsidR="00BC1681" w:rsidRPr="004E3B74">
        <w:rPr>
          <w:sz w:val="24"/>
          <w:szCs w:val="24"/>
        </w:rPr>
        <w:t>. How might you interpret the behavior of multiple founders as the product of for-the-good-of-the-group selection? If the behavior of the several queens is the product of natural selection, not Wynne-Edwardsian group selection, what prediction can you make about the interactions between the females during the colony establishment phase prior to the fight-to-the-death phase?</w:t>
      </w:r>
    </w:p>
    <w:p w14:paraId="6A4A0005" w14:textId="77777777" w:rsidR="00BC1681" w:rsidRPr="004E3B74" w:rsidRDefault="00BC1681" w:rsidP="00BC1681">
      <w:pPr>
        <w:rPr>
          <w:sz w:val="24"/>
          <w:szCs w:val="24"/>
        </w:rPr>
      </w:pPr>
    </w:p>
    <w:p w14:paraId="35FB9515" w14:textId="77777777" w:rsidR="00B953F1" w:rsidRPr="004E3B74" w:rsidRDefault="00B953F1" w:rsidP="00BC1681">
      <w:pPr>
        <w:rPr>
          <w:sz w:val="24"/>
          <w:szCs w:val="24"/>
        </w:rPr>
      </w:pPr>
    </w:p>
    <w:p w14:paraId="0F930D24" w14:textId="77777777" w:rsidR="00BC1681" w:rsidRPr="004E3B74" w:rsidRDefault="007F56F2" w:rsidP="00BC1681">
      <w:pPr>
        <w:rPr>
          <w:sz w:val="24"/>
          <w:szCs w:val="24"/>
        </w:rPr>
      </w:pPr>
      <w:r w:rsidRPr="004E3B74">
        <w:rPr>
          <w:sz w:val="24"/>
          <w:szCs w:val="24"/>
        </w:rPr>
        <w:t>12.3</w:t>
      </w:r>
      <w:r w:rsidR="00B953F1" w:rsidRPr="004E3B74">
        <w:rPr>
          <w:sz w:val="24"/>
          <w:szCs w:val="24"/>
        </w:rPr>
        <w:t xml:space="preserve"> </w:t>
      </w:r>
      <w:r w:rsidR="00BC1681" w:rsidRPr="004E3B74">
        <w:rPr>
          <w:sz w:val="24"/>
          <w:szCs w:val="24"/>
        </w:rPr>
        <w:t xml:space="preserve">If an altruistic act increases the genetic success of the altruist, then in what sense is this kind of altruism actually selfish? In everyday English, words like </w:t>
      </w:r>
      <w:r w:rsidR="00BC1681" w:rsidRPr="004E3B74">
        <w:rPr>
          <w:i/>
          <w:iCs/>
          <w:sz w:val="24"/>
          <w:szCs w:val="24"/>
        </w:rPr>
        <w:t>altruism</w:t>
      </w:r>
      <w:r w:rsidR="00BC1681" w:rsidRPr="004E3B74">
        <w:rPr>
          <w:sz w:val="24"/>
          <w:szCs w:val="24"/>
        </w:rPr>
        <w:t xml:space="preserve"> and </w:t>
      </w:r>
      <w:r w:rsidR="00BC1681" w:rsidRPr="004E3B74">
        <w:rPr>
          <w:i/>
          <w:iCs/>
          <w:sz w:val="24"/>
          <w:szCs w:val="24"/>
        </w:rPr>
        <w:t>selfishness</w:t>
      </w:r>
      <w:r w:rsidR="00BC1681" w:rsidRPr="004E3B74">
        <w:rPr>
          <w:sz w:val="24"/>
          <w:szCs w:val="24"/>
        </w:rPr>
        <w:t xml:space="preserve"> carry with them an implication about the motivation and intentions of the helpful individual. Why might everyday usage of these words get us into trouble when we hear them in an evolutionary context? If an individual just happened to help another at reproductive cost to itself, should the behavior be called altruistic under the evolutionary definition of the term?</w:t>
      </w:r>
    </w:p>
    <w:p w14:paraId="176BCEA2" w14:textId="77777777" w:rsidR="00BC1681" w:rsidRPr="004E3B74" w:rsidRDefault="00BC1681" w:rsidP="00BC1681">
      <w:pPr>
        <w:rPr>
          <w:i/>
          <w:sz w:val="24"/>
          <w:szCs w:val="24"/>
        </w:rPr>
      </w:pPr>
    </w:p>
    <w:p w14:paraId="66690B77" w14:textId="77777777" w:rsidR="00B953F1" w:rsidRPr="004E3B74" w:rsidRDefault="00B953F1" w:rsidP="00BC1681">
      <w:pPr>
        <w:rPr>
          <w:sz w:val="24"/>
          <w:szCs w:val="24"/>
        </w:rPr>
      </w:pPr>
    </w:p>
    <w:p w14:paraId="66E9B63C" w14:textId="2DE545B6" w:rsidR="00BC1681" w:rsidRPr="004E3B74" w:rsidRDefault="009907E4" w:rsidP="00BC1681">
      <w:pPr>
        <w:rPr>
          <w:sz w:val="24"/>
          <w:szCs w:val="24"/>
        </w:rPr>
      </w:pPr>
      <w:r w:rsidRPr="004E3B74">
        <w:rPr>
          <w:sz w:val="24"/>
          <w:szCs w:val="24"/>
        </w:rPr>
        <w:t xml:space="preserve">12.4 </w:t>
      </w:r>
      <w:r w:rsidR="00472085" w:rsidRPr="004E3B74">
        <w:rPr>
          <w:sz w:val="24"/>
          <w:szCs w:val="24"/>
        </w:rPr>
        <w:t xml:space="preserve">We can </w:t>
      </w:r>
      <w:r w:rsidR="00BC1681" w:rsidRPr="004E3B74">
        <w:rPr>
          <w:sz w:val="24"/>
          <w:szCs w:val="24"/>
        </w:rPr>
        <w:t xml:space="preserve">consider the coefficient of relatedness with respect to genes on the X chromosome rather than a single gene or the complete genome. </w:t>
      </w:r>
      <w:r w:rsidR="004E4705">
        <w:rPr>
          <w:sz w:val="24"/>
          <w:szCs w:val="24"/>
        </w:rPr>
        <w:t>Typically, every</w:t>
      </w:r>
      <w:r w:rsidR="004E4705" w:rsidRPr="004E3B74">
        <w:rPr>
          <w:sz w:val="24"/>
          <w:szCs w:val="24"/>
        </w:rPr>
        <w:t xml:space="preserve"> </w:t>
      </w:r>
      <w:r w:rsidR="00BC1681" w:rsidRPr="004E3B74">
        <w:rPr>
          <w:sz w:val="24"/>
          <w:szCs w:val="24"/>
        </w:rPr>
        <w:t>wom</w:t>
      </w:r>
      <w:r w:rsidR="004E4705">
        <w:rPr>
          <w:sz w:val="24"/>
          <w:szCs w:val="24"/>
        </w:rPr>
        <w:t>a</w:t>
      </w:r>
      <w:r w:rsidR="00BC1681" w:rsidRPr="004E3B74">
        <w:rPr>
          <w:sz w:val="24"/>
          <w:szCs w:val="24"/>
        </w:rPr>
        <w:t>n ha</w:t>
      </w:r>
      <w:r w:rsidR="004E4705">
        <w:rPr>
          <w:sz w:val="24"/>
          <w:szCs w:val="24"/>
        </w:rPr>
        <w:t>s</w:t>
      </w:r>
      <w:r w:rsidR="00BC1681" w:rsidRPr="004E3B74">
        <w:rPr>
          <w:sz w:val="24"/>
          <w:szCs w:val="24"/>
        </w:rPr>
        <w:t xml:space="preserve"> two X sex chromosomes. </w:t>
      </w:r>
      <w:r w:rsidR="004E4705">
        <w:rPr>
          <w:sz w:val="24"/>
          <w:szCs w:val="24"/>
        </w:rPr>
        <w:t>Her</w:t>
      </w:r>
      <w:r w:rsidR="004E4705" w:rsidRPr="004E3B74">
        <w:rPr>
          <w:sz w:val="24"/>
          <w:szCs w:val="24"/>
        </w:rPr>
        <w:t xml:space="preserve"> </w:t>
      </w:r>
      <w:r w:rsidR="00BC1681" w:rsidRPr="004E3B74">
        <w:rPr>
          <w:sz w:val="24"/>
          <w:szCs w:val="24"/>
        </w:rPr>
        <w:t xml:space="preserve">sons and daughters each get one X from </w:t>
      </w:r>
      <w:r w:rsidR="004E4705">
        <w:rPr>
          <w:sz w:val="24"/>
          <w:szCs w:val="24"/>
        </w:rPr>
        <w:t>her</w:t>
      </w:r>
      <w:r w:rsidR="00BC1681" w:rsidRPr="004E3B74">
        <w:rPr>
          <w:sz w:val="24"/>
          <w:szCs w:val="24"/>
        </w:rPr>
        <w:t xml:space="preserve">. An adult son may or may not pass on that X to his children. If he does not and instead gives an offspring his Y chromosome, he will create a grandson (XY) for his mother. That grandson will not carry his grandmother’s X chromosome. (Where then did his X chromosome come from?) What about the X chromosomes in the granddaughters of the </w:t>
      </w:r>
      <w:r w:rsidR="00BC1681" w:rsidRPr="004E3B74">
        <w:rPr>
          <w:sz w:val="24"/>
          <w:szCs w:val="24"/>
        </w:rPr>
        <w:lastRenderedPageBreak/>
        <w:t>paternal grandmother? What is the significance of the fact that the survival chances of grandsons with paternal grandmothers living nearby are much less than the odds of survival for granddaughters with paternal grandmothers nearby</w:t>
      </w:r>
      <w:r w:rsidR="00472085" w:rsidRPr="004E3B74">
        <w:rPr>
          <w:sz w:val="24"/>
          <w:szCs w:val="24"/>
        </w:rPr>
        <w:t xml:space="preserve"> </w:t>
      </w:r>
      <w:r w:rsidR="00BF1D3D" w:rsidRPr="004E3B74">
        <w:rPr>
          <w:sz w:val="24"/>
          <w:szCs w:val="24"/>
        </w:rPr>
        <w:fldChar w:fldCharType="begin"/>
      </w:r>
      <w:r w:rsidR="00BF1D3D" w:rsidRPr="004E3B74">
        <w:rPr>
          <w:sz w:val="24"/>
          <w:szCs w:val="24"/>
        </w:rPr>
        <w:instrText xml:space="preserve"> ADDIN EN.CITE &lt;EndNote&gt;&lt;Cite&gt;&lt;Author&gt;Fox&lt;/Author&gt;&lt;Year&gt;2010&lt;/Year&gt;&lt;RecNum&gt;2089&lt;/RecNum&gt;&lt;DisplayText&gt;(Fox et al. 2010)&lt;/DisplayText&gt;&lt;record&gt;&lt;rec-number&gt;2089&lt;/rec-number&gt;&lt;foreign-keys&gt;&lt;key app="EN" db-id="05p5axa9u50svsevr58xrzxxfe2zwf9e9tzw" timestamp="1526134473"&gt;2089&lt;/key&gt;&lt;/foreign-keys&gt;&lt;ref-type name="Journal Article"&gt;17&lt;/ref-type&gt;&lt;contributors&gt;&lt;authors&gt;&lt;author&gt;Fox, M&lt;/author&gt;&lt;author&gt;Sear, R&lt;/author&gt;&lt;author&gt;Beise, J&lt;/author&gt;&lt;author&gt;Ragsdale, G&lt;/author&gt;&lt;author&gt;Voland, E&lt;/author&gt;&lt;author&gt;Knapp, L A&lt;/author&gt;&lt;/authors&gt;&lt;/contributors&gt;&lt;titles&gt;&lt;title&gt;Grandma plays favourites: X-chromosome relatedness and sex-specific childhood mortality&lt;/title&gt;&lt;secondary-title&gt;Proceedings of the Royal Society of London B&lt;/secondary-title&gt;&lt;/titles&gt;&lt;periodical&gt;&lt;full-title&gt;Proceedings of the Royal Society of London B&lt;/full-title&gt;&lt;/periodical&gt;&lt;pages&gt;567-573&lt;/pages&gt;&lt;volume&gt;277&lt;/volume&gt;&lt;dates&gt;&lt;year&gt;2010&lt;/year&gt;&lt;/dates&gt;&lt;urls&gt;&lt;/urls&gt;&lt;/record&gt;&lt;/Cite&gt;&lt;/EndNote&gt;</w:instrText>
      </w:r>
      <w:r w:rsidR="00BF1D3D" w:rsidRPr="004E3B74">
        <w:rPr>
          <w:sz w:val="24"/>
          <w:szCs w:val="24"/>
        </w:rPr>
        <w:fldChar w:fldCharType="separate"/>
      </w:r>
      <w:r w:rsidR="00BF1D3D" w:rsidRPr="004E3B74">
        <w:rPr>
          <w:noProof/>
          <w:sz w:val="24"/>
          <w:szCs w:val="24"/>
        </w:rPr>
        <w:t>(Fox et al. 2010)</w:t>
      </w:r>
      <w:r w:rsidR="00BF1D3D" w:rsidRPr="004E3B74">
        <w:rPr>
          <w:sz w:val="24"/>
          <w:szCs w:val="24"/>
        </w:rPr>
        <w:fldChar w:fldCharType="end"/>
      </w:r>
      <w:r w:rsidR="00247FDE">
        <w:rPr>
          <w:sz w:val="24"/>
          <w:szCs w:val="24"/>
        </w:rPr>
        <w:t>?</w:t>
      </w:r>
      <w:r w:rsidR="00BC1681" w:rsidRPr="004E3B74">
        <w:rPr>
          <w:sz w:val="24"/>
          <w:szCs w:val="24"/>
        </w:rPr>
        <w:t xml:space="preserve"> Does the paternal grandmother’s effect on the survival of her granddaughters generate indirect selection or direct selection?</w:t>
      </w:r>
    </w:p>
    <w:p w14:paraId="2F010C1E" w14:textId="77777777" w:rsidR="00BC1681" w:rsidRPr="004E3B74" w:rsidRDefault="00BC1681" w:rsidP="00BC1681">
      <w:pPr>
        <w:rPr>
          <w:sz w:val="24"/>
          <w:szCs w:val="24"/>
        </w:rPr>
      </w:pPr>
    </w:p>
    <w:p w14:paraId="77E05C9C" w14:textId="77777777" w:rsidR="00B953F1" w:rsidRPr="004E3B74" w:rsidRDefault="00B953F1" w:rsidP="00BC1681">
      <w:pPr>
        <w:rPr>
          <w:sz w:val="24"/>
          <w:szCs w:val="24"/>
        </w:rPr>
      </w:pPr>
    </w:p>
    <w:p w14:paraId="754DD078" w14:textId="60CC9862" w:rsidR="00BC1681" w:rsidRPr="004E3B74" w:rsidRDefault="009907E4" w:rsidP="00BC1681">
      <w:pPr>
        <w:rPr>
          <w:sz w:val="24"/>
          <w:szCs w:val="24"/>
        </w:rPr>
      </w:pPr>
      <w:r w:rsidRPr="004E3B74">
        <w:rPr>
          <w:sz w:val="24"/>
          <w:szCs w:val="24"/>
        </w:rPr>
        <w:t>12.5</w:t>
      </w:r>
      <w:r w:rsidR="00BC1681" w:rsidRPr="004E3B74">
        <w:rPr>
          <w:sz w:val="24"/>
          <w:szCs w:val="24"/>
        </w:rPr>
        <w:t xml:space="preserve"> In some species</w:t>
      </w:r>
      <w:r w:rsidR="00247FDE">
        <w:rPr>
          <w:sz w:val="24"/>
          <w:szCs w:val="24"/>
        </w:rPr>
        <w:t xml:space="preserve"> of </w:t>
      </w:r>
      <w:r w:rsidR="00247FDE" w:rsidRPr="00247FDE">
        <w:rPr>
          <w:sz w:val="24"/>
          <w:szCs w:val="24"/>
        </w:rPr>
        <w:t xml:space="preserve">ants, bees, </w:t>
      </w:r>
      <w:r w:rsidR="00247FDE">
        <w:rPr>
          <w:sz w:val="24"/>
          <w:szCs w:val="24"/>
        </w:rPr>
        <w:t>and</w:t>
      </w:r>
      <w:r w:rsidR="00247FDE" w:rsidRPr="00247FDE">
        <w:rPr>
          <w:sz w:val="24"/>
          <w:szCs w:val="24"/>
        </w:rPr>
        <w:t xml:space="preserve"> wasps</w:t>
      </w:r>
      <w:r w:rsidR="0083350A" w:rsidRPr="004E3B74">
        <w:rPr>
          <w:sz w:val="24"/>
          <w:szCs w:val="24"/>
        </w:rPr>
        <w:t>,</w:t>
      </w:r>
      <w:r w:rsidR="00BC1681" w:rsidRPr="004E3B74">
        <w:rPr>
          <w:sz w:val="24"/>
          <w:szCs w:val="24"/>
        </w:rPr>
        <w:t xml:space="preserve"> the queen of a colony may have mated once or she may have mated with several different males. If workers of these </w:t>
      </w:r>
      <w:r w:rsidR="00850F2B">
        <w:rPr>
          <w:sz w:val="24"/>
          <w:szCs w:val="24"/>
        </w:rPr>
        <w:t>hymenopterans</w:t>
      </w:r>
      <w:r w:rsidR="00BC1681" w:rsidRPr="004E3B74">
        <w:rPr>
          <w:sz w:val="24"/>
          <w:szCs w:val="24"/>
        </w:rPr>
        <w:t xml:space="preserve"> retain the ability </w:t>
      </w:r>
      <w:r w:rsidRPr="004E3B74">
        <w:rPr>
          <w:sz w:val="24"/>
          <w:szCs w:val="24"/>
        </w:rPr>
        <w:t xml:space="preserve">to lay haploid eggs </w:t>
      </w:r>
      <w:r w:rsidR="00BC1681" w:rsidRPr="004E3B74">
        <w:rPr>
          <w:sz w:val="24"/>
          <w:szCs w:val="24"/>
        </w:rPr>
        <w:t>that will become their sons upon maturity, what should workers living in a colony headed by a monogamous queen try to do versus workers living in a colony with a queen that has mated with two or more males?</w:t>
      </w:r>
    </w:p>
    <w:p w14:paraId="454378EA" w14:textId="77777777" w:rsidR="00BC1681" w:rsidRPr="004E3B74" w:rsidRDefault="00BC1681" w:rsidP="00BC1681">
      <w:pPr>
        <w:rPr>
          <w:sz w:val="24"/>
          <w:szCs w:val="24"/>
        </w:rPr>
      </w:pPr>
    </w:p>
    <w:p w14:paraId="6E01CD60" w14:textId="77777777" w:rsidR="00B953F1" w:rsidRPr="004E3B74" w:rsidRDefault="00B953F1" w:rsidP="00BC1681">
      <w:pPr>
        <w:rPr>
          <w:sz w:val="24"/>
          <w:szCs w:val="24"/>
        </w:rPr>
      </w:pPr>
    </w:p>
    <w:p w14:paraId="5630D376" w14:textId="79FFCC81" w:rsidR="00BC1681" w:rsidRPr="004E3B74" w:rsidRDefault="009907E4" w:rsidP="00BC1681">
      <w:pPr>
        <w:rPr>
          <w:sz w:val="24"/>
          <w:szCs w:val="24"/>
        </w:rPr>
      </w:pPr>
      <w:r w:rsidRPr="004E3B74">
        <w:rPr>
          <w:sz w:val="24"/>
          <w:szCs w:val="24"/>
        </w:rPr>
        <w:t>12.6</w:t>
      </w:r>
      <w:r w:rsidR="00B953F1" w:rsidRPr="004E3B74">
        <w:rPr>
          <w:sz w:val="24"/>
          <w:szCs w:val="24"/>
        </w:rPr>
        <w:t xml:space="preserve"> </w:t>
      </w:r>
      <w:r w:rsidR="00BC1681" w:rsidRPr="004E3B74">
        <w:rPr>
          <w:sz w:val="24"/>
          <w:szCs w:val="24"/>
        </w:rPr>
        <w:t xml:space="preserve">If a female of a monogamous social wasp species could help to produce more sisters with an </w:t>
      </w:r>
      <w:r w:rsidR="00BC1681" w:rsidRPr="004E3B74">
        <w:rPr>
          <w:i/>
          <w:iCs/>
          <w:sz w:val="24"/>
          <w:szCs w:val="24"/>
        </w:rPr>
        <w:t>r</w:t>
      </w:r>
      <w:r w:rsidR="00BC1681" w:rsidRPr="004E3B74">
        <w:rPr>
          <w:sz w:val="24"/>
          <w:szCs w:val="24"/>
        </w:rPr>
        <w:t xml:space="preserve"> of 0.75, why would she ever reproduce personally, given that </w:t>
      </w:r>
      <w:r w:rsidR="00C17794">
        <w:rPr>
          <w:sz w:val="24"/>
          <w:szCs w:val="24"/>
        </w:rPr>
        <w:t xml:space="preserve">the relation of </w:t>
      </w:r>
      <w:r w:rsidR="00BC1681" w:rsidRPr="004E3B74">
        <w:rPr>
          <w:sz w:val="24"/>
          <w:szCs w:val="24"/>
        </w:rPr>
        <w:t xml:space="preserve">reproducers to their offspring </w:t>
      </w:r>
      <w:r w:rsidR="00C17794">
        <w:rPr>
          <w:sz w:val="24"/>
          <w:szCs w:val="24"/>
        </w:rPr>
        <w:t>is</w:t>
      </w:r>
      <w:r w:rsidR="00C17794" w:rsidRPr="004E3B74">
        <w:rPr>
          <w:sz w:val="24"/>
          <w:szCs w:val="24"/>
        </w:rPr>
        <w:t xml:space="preserve"> </w:t>
      </w:r>
      <w:r w:rsidR="00BC1681" w:rsidRPr="004E3B74">
        <w:rPr>
          <w:sz w:val="24"/>
          <w:szCs w:val="24"/>
        </w:rPr>
        <w:t>just 0.5?</w:t>
      </w:r>
    </w:p>
    <w:p w14:paraId="2A2D2BD0" w14:textId="77777777" w:rsidR="00BC1681" w:rsidRPr="004E3B74" w:rsidRDefault="00BC1681" w:rsidP="00BC1681">
      <w:pPr>
        <w:rPr>
          <w:sz w:val="24"/>
          <w:szCs w:val="24"/>
        </w:rPr>
      </w:pPr>
    </w:p>
    <w:p w14:paraId="19034798" w14:textId="77777777" w:rsidR="00B953F1" w:rsidRPr="004E3B74" w:rsidRDefault="00B953F1" w:rsidP="00BC1681">
      <w:pPr>
        <w:rPr>
          <w:sz w:val="24"/>
          <w:szCs w:val="24"/>
        </w:rPr>
      </w:pPr>
    </w:p>
    <w:p w14:paraId="2DDE5548" w14:textId="27F3B3D8" w:rsidR="00BC1681" w:rsidRPr="004E3B74" w:rsidRDefault="009907E4" w:rsidP="00BC1681">
      <w:pPr>
        <w:rPr>
          <w:sz w:val="24"/>
          <w:szCs w:val="24"/>
        </w:rPr>
      </w:pPr>
      <w:r w:rsidRPr="004E3B74">
        <w:rPr>
          <w:sz w:val="24"/>
          <w:szCs w:val="24"/>
        </w:rPr>
        <w:t>12.7</w:t>
      </w:r>
      <w:r w:rsidR="00BC1681" w:rsidRPr="004E3B74">
        <w:rPr>
          <w:sz w:val="24"/>
          <w:szCs w:val="24"/>
        </w:rPr>
        <w:t xml:space="preserve"> In termites both males and females are diploid</w:t>
      </w:r>
      <w:r w:rsidR="002E741D">
        <w:rPr>
          <w:sz w:val="24"/>
          <w:szCs w:val="24"/>
        </w:rPr>
        <w:t>,</w:t>
      </w:r>
      <w:r w:rsidR="00BC1681" w:rsidRPr="004E3B74">
        <w:rPr>
          <w:sz w:val="24"/>
          <w:szCs w:val="24"/>
        </w:rPr>
        <w:t xml:space="preserve"> and both sexes make up the worker caste. Moreover</w:t>
      </w:r>
      <w:r w:rsidR="00C17794">
        <w:rPr>
          <w:sz w:val="24"/>
          <w:szCs w:val="24"/>
        </w:rPr>
        <w:t>,</w:t>
      </w:r>
      <w:r w:rsidR="00BC1681" w:rsidRPr="004E3B74">
        <w:rPr>
          <w:sz w:val="24"/>
          <w:szCs w:val="24"/>
        </w:rPr>
        <w:t xml:space="preserve"> in at least one species, two small colonies may amalgamate without conflict except between the reproductive members of the same sex, which may try to kill one another</w:t>
      </w:r>
      <w:r w:rsidRPr="004E3B74">
        <w:rPr>
          <w:sz w:val="24"/>
          <w:szCs w:val="24"/>
        </w:rPr>
        <w:t xml:space="preserve"> </w:t>
      </w:r>
      <w:r w:rsidRPr="004E3B74">
        <w:rPr>
          <w:sz w:val="24"/>
          <w:szCs w:val="24"/>
        </w:rPr>
        <w:fldChar w:fldCharType="begin"/>
      </w:r>
      <w:r w:rsidRPr="004E3B74">
        <w:rPr>
          <w:sz w:val="24"/>
          <w:szCs w:val="24"/>
        </w:rPr>
        <w:instrText xml:space="preserve"> ADDIN EN.CITE &lt;EndNote&gt;&lt;Cite&gt;&lt;Author&gt;Johns&lt;/Author&gt;&lt;Year&gt;2009&lt;/Year&gt;&lt;RecNum&gt;662&lt;/RecNum&gt;&lt;DisplayText&gt;(Johns et al. 2009)&lt;/DisplayText&gt;&lt;record&gt;&lt;rec-number&gt;662&lt;/rec-number&gt;&lt;foreign-keys&gt;&lt;key app="EN" db-id="05p5axa9u50svsevr58xrzxxfe2zwf9e9tzw" timestamp="0"&gt;662&lt;/key&gt;&lt;/foreign-keys&gt;&lt;ref-type name="Journal Article"&gt;17&lt;/ref-type&gt;&lt;contributors&gt;&lt;authors&gt;&lt;author&gt;Johns, P. M.&lt;/author&gt;&lt;author&gt;Howard, K. J.&lt;/author&gt;&lt;author&gt;Breisch, N. L.&lt;/author&gt;&lt;author&gt;Rivera, A.&lt;/author&gt;&lt;author&gt;Thorne, B. L.&lt;/author&gt;&lt;/authors&gt;&lt;/contributors&gt;&lt;titles&gt;&lt;title&gt;Nonrelatives inherit colony resources in a primitive termite&lt;/title&gt;&lt;secondary-title&gt;Proceedings of the National Academy of Sciences &lt;/secondary-title&gt;&lt;/titles&gt;&lt;pages&gt;17452–17456&lt;/pages&gt;&lt;volume&gt;106&lt;/volume&gt;&lt;dates&gt;&lt;year&gt;2009&lt;/year&gt;&lt;/dates&gt;&lt;urls&gt;&lt;/urls&gt;&lt;/record&gt;&lt;/Cite&gt;&lt;/EndNote&gt;</w:instrText>
      </w:r>
      <w:r w:rsidRPr="004E3B74">
        <w:rPr>
          <w:sz w:val="24"/>
          <w:szCs w:val="24"/>
        </w:rPr>
        <w:fldChar w:fldCharType="separate"/>
      </w:r>
      <w:r w:rsidRPr="004E3B74">
        <w:rPr>
          <w:noProof/>
          <w:sz w:val="24"/>
          <w:szCs w:val="24"/>
        </w:rPr>
        <w:t>(Johns et al. 2009)</w:t>
      </w:r>
      <w:r w:rsidRPr="004E3B74">
        <w:rPr>
          <w:sz w:val="24"/>
          <w:szCs w:val="24"/>
        </w:rPr>
        <w:fldChar w:fldCharType="end"/>
      </w:r>
      <w:r w:rsidR="00BC1681" w:rsidRPr="004E3B74">
        <w:rPr>
          <w:sz w:val="24"/>
          <w:szCs w:val="24"/>
        </w:rPr>
        <w:t>. The members of merged colonies cooperate with one another. Some individuals in these colonies also have the ability to become replacement kings or queens upon the demise of one of the original surviving reproductives. What might these termites tell us about haplodiploidy and the origin of eusocial behavior? Evaluate the possibility that unrelated workers (with the capacity to become reproductives) may have helped unrelated queens a</w:t>
      </w:r>
      <w:r w:rsidR="00A70816" w:rsidRPr="004E3B74">
        <w:rPr>
          <w:sz w:val="24"/>
          <w:szCs w:val="24"/>
        </w:rPr>
        <w:t>t</w:t>
      </w:r>
      <w:r w:rsidR="00BC1681" w:rsidRPr="004E3B74">
        <w:rPr>
          <w:sz w:val="24"/>
          <w:szCs w:val="24"/>
        </w:rPr>
        <w:t xml:space="preserve"> an early stage in the evolution of eusocial colonies.</w:t>
      </w:r>
    </w:p>
    <w:p w14:paraId="457A7470" w14:textId="77777777" w:rsidR="00BC1681" w:rsidRPr="004E3B74" w:rsidRDefault="00BC1681" w:rsidP="00BC1681">
      <w:pPr>
        <w:rPr>
          <w:sz w:val="24"/>
          <w:szCs w:val="24"/>
        </w:rPr>
      </w:pPr>
    </w:p>
    <w:p w14:paraId="22C4CFC5" w14:textId="77777777" w:rsidR="00B953F1" w:rsidRPr="004E3B74" w:rsidRDefault="00B953F1" w:rsidP="00BC1681">
      <w:pPr>
        <w:rPr>
          <w:sz w:val="24"/>
          <w:szCs w:val="24"/>
        </w:rPr>
      </w:pPr>
    </w:p>
    <w:p w14:paraId="73638F55" w14:textId="5D7F48BA" w:rsidR="00BC1681" w:rsidRPr="004E3B74" w:rsidRDefault="00FE194F" w:rsidP="00BC1681">
      <w:pPr>
        <w:rPr>
          <w:sz w:val="24"/>
          <w:szCs w:val="24"/>
        </w:rPr>
      </w:pPr>
      <w:r w:rsidRPr="004E3B74">
        <w:rPr>
          <w:sz w:val="24"/>
          <w:szCs w:val="24"/>
        </w:rPr>
        <w:t>12.8</w:t>
      </w:r>
      <w:r w:rsidR="00BC1681" w:rsidRPr="004E3B74">
        <w:rPr>
          <w:sz w:val="24"/>
          <w:szCs w:val="24"/>
        </w:rPr>
        <w:t xml:space="preserve"> Wolfgang Kirchner and Andreas Grasser found that when </w:t>
      </w:r>
      <w:r w:rsidR="002E741D">
        <w:rPr>
          <w:sz w:val="24"/>
          <w:szCs w:val="24"/>
        </w:rPr>
        <w:t xml:space="preserve">a </w:t>
      </w:r>
      <w:r w:rsidR="00BC1681" w:rsidRPr="004E3B74">
        <w:rPr>
          <w:sz w:val="24"/>
          <w:szCs w:val="24"/>
        </w:rPr>
        <w:t>hive</w:t>
      </w:r>
      <w:r w:rsidR="002E741D">
        <w:rPr>
          <w:sz w:val="24"/>
          <w:szCs w:val="24"/>
        </w:rPr>
        <w:t xml:space="preserve"> of</w:t>
      </w:r>
      <w:r w:rsidR="00BC1681" w:rsidRPr="004E3B74">
        <w:rPr>
          <w:sz w:val="24"/>
          <w:szCs w:val="24"/>
        </w:rPr>
        <w:t xml:space="preserve"> </w:t>
      </w:r>
      <w:r w:rsidR="002E741D" w:rsidRPr="002E741D">
        <w:rPr>
          <w:sz w:val="24"/>
          <w:szCs w:val="24"/>
        </w:rPr>
        <w:t>honey bee</w:t>
      </w:r>
      <w:r w:rsidR="002E741D">
        <w:rPr>
          <w:sz w:val="24"/>
          <w:szCs w:val="24"/>
        </w:rPr>
        <w:t xml:space="preserve">s </w:t>
      </w:r>
      <w:r w:rsidR="002E741D" w:rsidRPr="004E3B74">
        <w:rPr>
          <w:sz w:val="24"/>
          <w:szCs w:val="24"/>
        </w:rPr>
        <w:t>(</w:t>
      </w:r>
      <w:r w:rsidR="002E741D" w:rsidRPr="004E3B74">
        <w:rPr>
          <w:i/>
          <w:sz w:val="24"/>
          <w:szCs w:val="24"/>
        </w:rPr>
        <w:t>Apis mellifera</w:t>
      </w:r>
      <w:r w:rsidR="002E741D" w:rsidRPr="004E3B74">
        <w:rPr>
          <w:sz w:val="24"/>
          <w:szCs w:val="24"/>
        </w:rPr>
        <w:t xml:space="preserve">) </w:t>
      </w:r>
      <w:r w:rsidR="00BC1681" w:rsidRPr="004E3B74">
        <w:rPr>
          <w:sz w:val="24"/>
          <w:szCs w:val="24"/>
        </w:rPr>
        <w:t xml:space="preserve">was turned on its side, </w:t>
      </w:r>
      <w:r w:rsidR="002E741D">
        <w:rPr>
          <w:sz w:val="24"/>
          <w:szCs w:val="24"/>
        </w:rPr>
        <w:t>the</w:t>
      </w:r>
      <w:r w:rsidR="002E741D" w:rsidRPr="004E3B74">
        <w:rPr>
          <w:sz w:val="24"/>
          <w:szCs w:val="24"/>
        </w:rPr>
        <w:t xml:space="preserve"> </w:t>
      </w:r>
      <w:r w:rsidR="00BC1681" w:rsidRPr="004E3B74">
        <w:rPr>
          <w:sz w:val="24"/>
          <w:szCs w:val="24"/>
        </w:rPr>
        <w:t>bees continued to dance in the darkness, but on a horizontal surface, not a vertical one</w:t>
      </w:r>
      <w:r w:rsidR="00B86F25" w:rsidRPr="004E3B74">
        <w:rPr>
          <w:sz w:val="24"/>
          <w:szCs w:val="24"/>
        </w:rPr>
        <w:t xml:space="preserve"> </w:t>
      </w:r>
      <w:r w:rsidRPr="004E3B74">
        <w:rPr>
          <w:sz w:val="24"/>
          <w:szCs w:val="24"/>
        </w:rPr>
        <w:fldChar w:fldCharType="begin"/>
      </w:r>
      <w:r w:rsidRPr="004E3B74">
        <w:rPr>
          <w:sz w:val="24"/>
          <w:szCs w:val="24"/>
        </w:rPr>
        <w:instrText xml:space="preserve"> ADDIN EN.CITE &lt;EndNote&gt;&lt;Cite&gt;&lt;Author&gt;Kirchner&lt;/Author&gt;&lt;Year&gt;1998&lt;/Year&gt;&lt;RecNum&gt;709&lt;/RecNum&gt;&lt;DisplayText&gt;(Kirchner and Grasser 1998)&lt;/DisplayText&gt;&lt;record&gt;&lt;rec-number&gt;709&lt;/rec-number&gt;&lt;foreign-keys&gt;&lt;key app="EN" db-id="05p5axa9u50svsevr58xrzxxfe2zwf9e9tzw" timestamp="0"&gt;709&lt;/key&gt;&lt;/foreign-keys&gt;&lt;ref-type name="Journal Article"&gt;17&lt;/ref-type&gt;&lt;contributors&gt;&lt;authors&gt;&lt;author&gt;Kirchner, W H&lt;/author&gt;&lt;author&gt;Grasser, A&lt;/author&gt;&lt;/authors&gt;&lt;/contributors&gt;&lt;titles&gt;&lt;title&gt;The significance of odor cues and dance language information for the food search behavior of honeybees (Hymenoptera: Apidae)&lt;/title&gt;&lt;secondary-title&gt;Journal of Insect Behavior&lt;/secondary-title&gt;&lt;/titles&gt;&lt;periodical&gt;&lt;full-title&gt;Journal of Insect Behavior&lt;/full-title&gt;&lt;/periodical&gt;&lt;pages&gt;169-178&lt;/pages&gt;&lt;volume&gt;11&lt;/volume&gt;&lt;keywords&gt;&lt;keyword&gt;ch10&lt;/keyword&gt;&lt;/keywords&gt;&lt;dates&gt;&lt;year&gt;1998&lt;/year&gt;&lt;/dates&gt;&lt;urls&gt;&lt;/urls&gt;&lt;/record&gt;&lt;/Cite&gt;&lt;/EndNote&gt;</w:instrText>
      </w:r>
      <w:r w:rsidRPr="004E3B74">
        <w:rPr>
          <w:sz w:val="24"/>
          <w:szCs w:val="24"/>
        </w:rPr>
        <w:fldChar w:fldCharType="separate"/>
      </w:r>
      <w:r w:rsidRPr="004E3B74">
        <w:rPr>
          <w:noProof/>
          <w:sz w:val="24"/>
          <w:szCs w:val="24"/>
        </w:rPr>
        <w:t>(Kirchner and Grasser 1998)</w:t>
      </w:r>
      <w:r w:rsidRPr="004E3B74">
        <w:rPr>
          <w:sz w:val="24"/>
          <w:szCs w:val="24"/>
        </w:rPr>
        <w:fldChar w:fldCharType="end"/>
      </w:r>
      <w:r w:rsidR="00BC1681" w:rsidRPr="004E3B74">
        <w:rPr>
          <w:sz w:val="24"/>
          <w:szCs w:val="24"/>
        </w:rPr>
        <w:t>. Under these conditions, recruitment at distant feeders (more than 100 meters from the hive) that had been visited by dancing bees was very poor. When, however, the hive was returned to an upright position and the comb surface on which recruiters danced was vertical (as it would be in natural hives), most recruits appeared at the feeders that the scouts had visited. What bearing do these results have on the argument about whether recruits derive information from the dances of their colony mates? What prediction can you make about relative rates of recruitment to sites less than 50 meters from the hive when it is turned on its side as opposed to when it is upright?</w:t>
      </w:r>
    </w:p>
    <w:p w14:paraId="4D7E96C1" w14:textId="77777777" w:rsidR="00BC1681" w:rsidRPr="004E3B74" w:rsidRDefault="00BC1681" w:rsidP="00BC1681">
      <w:pPr>
        <w:rPr>
          <w:sz w:val="24"/>
          <w:szCs w:val="24"/>
        </w:rPr>
      </w:pPr>
    </w:p>
    <w:p w14:paraId="3C0BDBA7" w14:textId="77777777" w:rsidR="0046525B" w:rsidRDefault="0046525B" w:rsidP="00BC1681">
      <w:pPr>
        <w:rPr>
          <w:sz w:val="24"/>
          <w:szCs w:val="24"/>
        </w:rPr>
      </w:pPr>
    </w:p>
    <w:p w14:paraId="25AA7854" w14:textId="60F898D4" w:rsidR="00BC1681" w:rsidRPr="004E3B74" w:rsidRDefault="00082E69" w:rsidP="00BC1681">
      <w:pPr>
        <w:rPr>
          <w:sz w:val="24"/>
          <w:szCs w:val="24"/>
        </w:rPr>
      </w:pPr>
      <w:r w:rsidRPr="004E3B74">
        <w:rPr>
          <w:sz w:val="24"/>
          <w:szCs w:val="24"/>
        </w:rPr>
        <w:lastRenderedPageBreak/>
        <w:t>12.9</w:t>
      </w:r>
      <w:r w:rsidR="00BC1681" w:rsidRPr="004E3B74">
        <w:rPr>
          <w:sz w:val="24"/>
          <w:szCs w:val="24"/>
        </w:rPr>
        <w:t xml:space="preserve"> Why might it be that the more drones</w:t>
      </w:r>
      <w:r w:rsidR="00850F2B">
        <w:rPr>
          <w:sz w:val="24"/>
          <w:szCs w:val="24"/>
        </w:rPr>
        <w:t xml:space="preserve"> there are</w:t>
      </w:r>
      <w:r w:rsidR="00BC1681" w:rsidRPr="004E3B74">
        <w:rPr>
          <w:sz w:val="24"/>
          <w:szCs w:val="24"/>
        </w:rPr>
        <w:t xml:space="preserve"> that mate with a queen honey bee, the more loyal are the workers in her colony and the longer she retains a workforce that acts in her interests, not their own personal reproductive interests</w:t>
      </w:r>
      <w:r w:rsidR="00795B78" w:rsidRPr="004E3B74">
        <w:rPr>
          <w:sz w:val="24"/>
          <w:szCs w:val="24"/>
        </w:rPr>
        <w:t xml:space="preserve"> </w:t>
      </w:r>
      <w:r w:rsidR="00795B78" w:rsidRPr="004E3B74">
        <w:rPr>
          <w:sz w:val="24"/>
          <w:szCs w:val="24"/>
        </w:rPr>
        <w:fldChar w:fldCharType="begin"/>
      </w:r>
      <w:r w:rsidR="00795B78" w:rsidRPr="004E3B74">
        <w:rPr>
          <w:sz w:val="24"/>
          <w:szCs w:val="24"/>
        </w:rPr>
        <w:instrText xml:space="preserve"> ADDIN EN.CITE &lt;EndNote&gt;&lt;Cite&gt;&lt;Author&gt;Richard&lt;/Author&gt;&lt;Year&gt;2007&lt;/Year&gt;&lt;RecNum&gt;1136&lt;/RecNum&gt;&lt;DisplayText&gt;(Richard et al. 2007)&lt;/DisplayText&gt;&lt;record&gt;&lt;rec-number&gt;1136&lt;/rec-number&gt;&lt;foreign-keys&gt;&lt;key app="EN" db-id="05p5axa9u50svsevr58xrzxxfe2zwf9e9tzw" timestamp="0"&gt;1136&lt;/key&gt;&lt;/foreign-keys&gt;&lt;ref-type name="Journal Article"&gt;17&lt;/ref-type&gt;&lt;contributors&gt;&lt;authors&gt;&lt;author&gt;Richard, F.-J.&lt;/author&gt;&lt;author&gt;Tarpy, D.&lt;/author&gt;&lt;author&gt;Grozinger, C.&lt;/author&gt;&lt;/authors&gt;&lt;/contributors&gt;&lt;titles&gt;&lt;title&gt;Effects of insemination quantity on honey bee queen physiology&lt;/title&gt;&lt;secondary-title&gt;PLoS ONE&lt;/secondary-title&gt;&lt;/titles&gt;&lt;periodical&gt;&lt;full-title&gt;PloS One&lt;/full-title&gt;&lt;/periodical&gt;&lt;pages&gt;e980.doi: 10:1371/journal.pone.0000980&lt;/pages&gt;&lt;volume&gt;2&lt;/volume&gt;&lt;number&gt;10&lt;/number&gt;&lt;dates&gt;&lt;year&gt;2007&lt;/year&gt;&lt;/dates&gt;&lt;urls&gt;&lt;/urls&gt;&lt;/record&gt;&lt;/Cite&gt;&lt;/EndNote&gt;</w:instrText>
      </w:r>
      <w:r w:rsidR="00795B78" w:rsidRPr="004E3B74">
        <w:rPr>
          <w:sz w:val="24"/>
          <w:szCs w:val="24"/>
        </w:rPr>
        <w:fldChar w:fldCharType="separate"/>
      </w:r>
      <w:r w:rsidR="00795B78" w:rsidRPr="004E3B74">
        <w:rPr>
          <w:noProof/>
          <w:sz w:val="24"/>
          <w:szCs w:val="24"/>
        </w:rPr>
        <w:t>(Richard et al. 2007)</w:t>
      </w:r>
      <w:r w:rsidR="00795B78" w:rsidRPr="004E3B74">
        <w:rPr>
          <w:sz w:val="24"/>
          <w:szCs w:val="24"/>
        </w:rPr>
        <w:fldChar w:fldCharType="end"/>
      </w:r>
      <w:r w:rsidR="00BC1681" w:rsidRPr="004E3B74">
        <w:rPr>
          <w:sz w:val="24"/>
          <w:szCs w:val="24"/>
        </w:rPr>
        <w:t>? If in a colony of eusocial Hymenoptera, you remove the queen, what prediction follows about a change in the frequency of reproduction by workers</w:t>
      </w:r>
      <w:r w:rsidR="00795B78" w:rsidRPr="004E3B74">
        <w:rPr>
          <w:sz w:val="24"/>
          <w:szCs w:val="24"/>
        </w:rPr>
        <w:t xml:space="preserve"> </w:t>
      </w:r>
      <w:r w:rsidRPr="004E3B74">
        <w:rPr>
          <w:sz w:val="24"/>
          <w:szCs w:val="24"/>
        </w:rPr>
        <w:fldChar w:fldCharType="begin"/>
      </w:r>
      <w:r w:rsidRPr="004E3B74">
        <w:rPr>
          <w:sz w:val="24"/>
          <w:szCs w:val="24"/>
        </w:rPr>
        <w:instrText xml:space="preserve"> ADDIN EN.CITE &lt;EndNote&gt;&lt;Cite&gt;&lt;Author&gt;Wenseleers&lt;/Author&gt;&lt;Year&gt;2006&lt;/Year&gt;&lt;RecNum&gt;1435&lt;/RecNum&gt;&lt;DisplayText&gt;(Wenseleers and Ratnieks 2006)&lt;/DisplayText&gt;&lt;record&gt;&lt;rec-number&gt;1435&lt;/rec-number&gt;&lt;foreign-keys&gt;&lt;key app="EN" db-id="05p5axa9u50svsevr58xrzxxfe2zwf9e9tzw" timestamp="0"&gt;1435&lt;/key&gt;&lt;/foreign-keys&gt;&lt;ref-type name="Journal Article"&gt;17&lt;/ref-type&gt;&lt;contributors&gt;&lt;authors&gt;&lt;author&gt;Wenseleers, T. &lt;/author&gt;&lt;author&gt;Ratnieks, F. L. W.&lt;/author&gt;&lt;/authors&gt;&lt;/contributors&gt;&lt;titles&gt;&lt;title&gt;Comparative analysis of worker reproduction and policing in eusocial Hymenoptera supports relatedness theory&lt;/title&gt;&lt;secondary-title&gt;American Naturalist&lt;/secondary-title&gt;&lt;/titles&gt;&lt;pages&gt;E163–E179&lt;/pages&gt;&lt;volume&gt;168&lt;/volume&gt;&lt;dates&gt;&lt;year&gt;2006&lt;/year&gt;&lt;/dates&gt;&lt;urls&gt;&lt;/urls&gt;&lt;/record&gt;&lt;/Cite&gt;&lt;/EndNote&gt;</w:instrText>
      </w:r>
      <w:r w:rsidRPr="004E3B74">
        <w:rPr>
          <w:sz w:val="24"/>
          <w:szCs w:val="24"/>
        </w:rPr>
        <w:fldChar w:fldCharType="separate"/>
      </w:r>
      <w:r w:rsidRPr="004E3B74">
        <w:rPr>
          <w:noProof/>
          <w:sz w:val="24"/>
          <w:szCs w:val="24"/>
        </w:rPr>
        <w:t>(Wenseleers and Ratnieks 2006)</w:t>
      </w:r>
      <w:r w:rsidRPr="004E3B74">
        <w:rPr>
          <w:sz w:val="24"/>
          <w:szCs w:val="24"/>
        </w:rPr>
        <w:fldChar w:fldCharType="end"/>
      </w:r>
      <w:r w:rsidR="00BC1681" w:rsidRPr="004E3B74">
        <w:rPr>
          <w:sz w:val="24"/>
          <w:szCs w:val="24"/>
        </w:rPr>
        <w:t>?</w:t>
      </w:r>
    </w:p>
    <w:p w14:paraId="17D6E571" w14:textId="77777777" w:rsidR="00BC1681" w:rsidRPr="004E3B74" w:rsidRDefault="00BC1681" w:rsidP="00BC1681">
      <w:pPr>
        <w:rPr>
          <w:sz w:val="24"/>
          <w:szCs w:val="24"/>
        </w:rPr>
      </w:pPr>
    </w:p>
    <w:p w14:paraId="71FE7EE3" w14:textId="77777777" w:rsidR="00B953F1" w:rsidRPr="004E3B74" w:rsidRDefault="00B953F1" w:rsidP="00BC1681">
      <w:pPr>
        <w:rPr>
          <w:sz w:val="24"/>
          <w:szCs w:val="24"/>
        </w:rPr>
      </w:pPr>
    </w:p>
    <w:p w14:paraId="4B56B40A" w14:textId="297AE82A" w:rsidR="00BC1681" w:rsidRPr="004E3B74" w:rsidRDefault="009836E7" w:rsidP="00BC1681">
      <w:pPr>
        <w:rPr>
          <w:sz w:val="24"/>
          <w:szCs w:val="24"/>
        </w:rPr>
      </w:pPr>
      <w:r>
        <w:rPr>
          <w:sz w:val="24"/>
          <w:szCs w:val="24"/>
        </w:rPr>
        <w:t>12.10</w:t>
      </w:r>
      <w:r w:rsidR="00BC1681" w:rsidRPr="004E3B74">
        <w:rPr>
          <w:sz w:val="24"/>
          <w:szCs w:val="24"/>
        </w:rPr>
        <w:t xml:space="preserve"> As we have seen, </w:t>
      </w:r>
      <w:r w:rsidR="00D13F39" w:rsidRPr="004E3B74">
        <w:rPr>
          <w:sz w:val="24"/>
          <w:szCs w:val="24"/>
        </w:rPr>
        <w:t>workers</w:t>
      </w:r>
      <w:r w:rsidR="00BC1681" w:rsidRPr="004E3B74">
        <w:rPr>
          <w:sz w:val="24"/>
          <w:szCs w:val="24"/>
        </w:rPr>
        <w:t xml:space="preserve"> and queens of social insects can have disputes about any number of things, despite being members of the same family. Why, for example, might a worker with a once-mated mother let her mother produce daughters but attempt to produce sons herself (assuming that in this social species, workers have functional ovaries)? In the honey bee, workers provision several larvae with extra food, creating future queens. But when one of this coterie of queens emerges, she usually kills her sister queens. Why is this puzzling? Why is the behavior adaptive?</w:t>
      </w:r>
    </w:p>
    <w:p w14:paraId="5845BAEC" w14:textId="77777777" w:rsidR="00BC1681" w:rsidRPr="004E3B74" w:rsidRDefault="00BC1681" w:rsidP="00BC1681">
      <w:pPr>
        <w:rPr>
          <w:sz w:val="24"/>
          <w:szCs w:val="24"/>
        </w:rPr>
      </w:pPr>
      <w:bookmarkStart w:id="0" w:name="_GoBack"/>
      <w:bookmarkEnd w:id="0"/>
    </w:p>
    <w:p w14:paraId="2DF658F4" w14:textId="77777777" w:rsidR="0046525B" w:rsidRPr="00A76F06" w:rsidRDefault="0046525B" w:rsidP="0046525B">
      <w:pPr>
        <w:pBdr>
          <w:bottom w:val="single" w:sz="12" w:space="1" w:color="auto"/>
        </w:pBdr>
        <w:rPr>
          <w:b/>
          <w:sz w:val="24"/>
          <w:szCs w:val="24"/>
        </w:rPr>
      </w:pPr>
    </w:p>
    <w:p w14:paraId="5EBF66D3" w14:textId="77777777" w:rsidR="0046525B" w:rsidRPr="000900DA" w:rsidRDefault="0046525B" w:rsidP="0046525B">
      <w:pPr>
        <w:spacing w:after="200" w:line="276" w:lineRule="auto"/>
        <w:rPr>
          <w:sz w:val="24"/>
          <w:szCs w:val="24"/>
        </w:rPr>
      </w:pPr>
      <w:r w:rsidRPr="000900DA">
        <w:rPr>
          <w:sz w:val="24"/>
          <w:szCs w:val="24"/>
        </w:rPr>
        <w:t>References</w:t>
      </w:r>
    </w:p>
    <w:p w14:paraId="22C312F0" w14:textId="42A61381" w:rsidR="00082E69" w:rsidRPr="00807EA3" w:rsidRDefault="00640493" w:rsidP="00B974F1">
      <w:pPr>
        <w:spacing w:after="200" w:line="276" w:lineRule="auto"/>
        <w:rPr>
          <w:noProof/>
          <w:sz w:val="24"/>
          <w:szCs w:val="24"/>
        </w:rPr>
      </w:pPr>
      <w:r w:rsidRPr="004E3B74">
        <w:rPr>
          <w:sz w:val="24"/>
          <w:szCs w:val="24"/>
        </w:rPr>
        <w:fldChar w:fldCharType="begin"/>
      </w:r>
      <w:r w:rsidRPr="004E3B74">
        <w:rPr>
          <w:sz w:val="24"/>
          <w:szCs w:val="24"/>
        </w:rPr>
        <w:instrText xml:space="preserve"> ADDIN EN.REFLIST </w:instrText>
      </w:r>
      <w:r w:rsidRPr="004E3B74">
        <w:rPr>
          <w:sz w:val="24"/>
          <w:szCs w:val="24"/>
        </w:rPr>
        <w:fldChar w:fldCharType="separate"/>
      </w:r>
      <w:r w:rsidR="00082E69" w:rsidRPr="00807EA3">
        <w:rPr>
          <w:noProof/>
          <w:sz w:val="24"/>
          <w:szCs w:val="24"/>
        </w:rPr>
        <w:t xml:space="preserve">Bernasconi, G., </w:t>
      </w:r>
      <w:r w:rsidR="002E741D">
        <w:rPr>
          <w:noProof/>
          <w:sz w:val="24"/>
          <w:szCs w:val="24"/>
        </w:rPr>
        <w:t xml:space="preserve">and </w:t>
      </w:r>
      <w:r w:rsidR="00082E69" w:rsidRPr="00807EA3">
        <w:rPr>
          <w:noProof/>
          <w:sz w:val="24"/>
          <w:szCs w:val="24"/>
        </w:rPr>
        <w:t xml:space="preserve">Strassman, J. E. 1999. Cooperation among unrelated individuals: The ant foundress case. </w:t>
      </w:r>
      <w:r w:rsidR="00082E69" w:rsidRPr="00807EA3">
        <w:rPr>
          <w:i/>
          <w:noProof/>
          <w:sz w:val="24"/>
          <w:szCs w:val="24"/>
        </w:rPr>
        <w:t>Trends in Ecology &amp; Evolution</w:t>
      </w:r>
      <w:r w:rsidR="00082E69" w:rsidRPr="00807EA3">
        <w:rPr>
          <w:noProof/>
          <w:sz w:val="24"/>
          <w:szCs w:val="24"/>
        </w:rPr>
        <w:t xml:space="preserve"> 14: 477</w:t>
      </w:r>
      <w:r w:rsidR="002E741D">
        <w:rPr>
          <w:noProof/>
          <w:sz w:val="24"/>
          <w:szCs w:val="24"/>
        </w:rPr>
        <w:t>–</w:t>
      </w:r>
      <w:r w:rsidR="00082E69" w:rsidRPr="00807EA3">
        <w:rPr>
          <w:noProof/>
          <w:sz w:val="24"/>
          <w:szCs w:val="24"/>
        </w:rPr>
        <w:t>482.</w:t>
      </w:r>
    </w:p>
    <w:p w14:paraId="30BA5748" w14:textId="7847091C" w:rsidR="00082E69" w:rsidRPr="00807EA3" w:rsidRDefault="00082E69" w:rsidP="00082E69">
      <w:pPr>
        <w:pStyle w:val="EndNoteBibliography"/>
        <w:ind w:left="720" w:hanging="720"/>
        <w:rPr>
          <w:noProof/>
          <w:sz w:val="24"/>
          <w:szCs w:val="24"/>
        </w:rPr>
      </w:pPr>
      <w:r w:rsidRPr="00807EA3">
        <w:rPr>
          <w:noProof/>
          <w:sz w:val="24"/>
          <w:szCs w:val="24"/>
        </w:rPr>
        <w:t xml:space="preserve">Fox, M., Sear, R., Beise, J., Ragsdale, G., Voland, E., </w:t>
      </w:r>
      <w:r w:rsidR="002E741D">
        <w:rPr>
          <w:noProof/>
          <w:sz w:val="24"/>
          <w:szCs w:val="24"/>
        </w:rPr>
        <w:t xml:space="preserve">and </w:t>
      </w:r>
      <w:r w:rsidRPr="00807EA3">
        <w:rPr>
          <w:noProof/>
          <w:sz w:val="24"/>
          <w:szCs w:val="24"/>
        </w:rPr>
        <w:t xml:space="preserve">Knapp, L. A. 2010. Grandma plays favourites: X-chromosome relatedness and sex-specific childhood mortality. </w:t>
      </w:r>
      <w:r w:rsidRPr="00807EA3">
        <w:rPr>
          <w:i/>
          <w:noProof/>
          <w:sz w:val="24"/>
          <w:szCs w:val="24"/>
        </w:rPr>
        <w:t>Proceedings of the Royal Society of London B</w:t>
      </w:r>
      <w:r w:rsidRPr="00807EA3">
        <w:rPr>
          <w:noProof/>
          <w:sz w:val="24"/>
          <w:szCs w:val="24"/>
        </w:rPr>
        <w:t xml:space="preserve"> 277: 567</w:t>
      </w:r>
      <w:r w:rsidR="002E741D">
        <w:rPr>
          <w:noProof/>
          <w:sz w:val="24"/>
          <w:szCs w:val="24"/>
        </w:rPr>
        <w:t>–</w:t>
      </w:r>
      <w:r w:rsidRPr="00807EA3">
        <w:rPr>
          <w:noProof/>
          <w:sz w:val="24"/>
          <w:szCs w:val="24"/>
        </w:rPr>
        <w:t>573.</w:t>
      </w:r>
    </w:p>
    <w:p w14:paraId="77B333AE" w14:textId="56986539" w:rsidR="00082E69" w:rsidRPr="00807EA3" w:rsidRDefault="00082E69" w:rsidP="00082E69">
      <w:pPr>
        <w:pStyle w:val="EndNoteBibliography"/>
        <w:ind w:left="720" w:hanging="720"/>
        <w:rPr>
          <w:noProof/>
          <w:sz w:val="24"/>
          <w:szCs w:val="24"/>
        </w:rPr>
      </w:pPr>
      <w:r w:rsidRPr="00807EA3">
        <w:rPr>
          <w:noProof/>
          <w:sz w:val="24"/>
          <w:szCs w:val="24"/>
        </w:rPr>
        <w:t xml:space="preserve">Johns, P. M., Howard, K. J., Breisch, N. L., Rivera, A., </w:t>
      </w:r>
      <w:r w:rsidR="002E741D">
        <w:rPr>
          <w:noProof/>
          <w:sz w:val="24"/>
          <w:szCs w:val="24"/>
        </w:rPr>
        <w:t xml:space="preserve">and </w:t>
      </w:r>
      <w:r w:rsidRPr="00807EA3">
        <w:rPr>
          <w:noProof/>
          <w:sz w:val="24"/>
          <w:szCs w:val="24"/>
        </w:rPr>
        <w:t xml:space="preserve">Thorne, B. L. 2009. Nonrelatives inherit colony resources in a primitive termite. </w:t>
      </w:r>
      <w:r w:rsidRPr="00807EA3">
        <w:rPr>
          <w:i/>
          <w:noProof/>
          <w:sz w:val="24"/>
          <w:szCs w:val="24"/>
        </w:rPr>
        <w:t xml:space="preserve">Proceedings of the National Academy of Sciences </w:t>
      </w:r>
      <w:r w:rsidRPr="00807EA3">
        <w:rPr>
          <w:noProof/>
          <w:sz w:val="24"/>
          <w:szCs w:val="24"/>
        </w:rPr>
        <w:t>106: 17452–17456.</w:t>
      </w:r>
    </w:p>
    <w:p w14:paraId="30D281D7" w14:textId="583581CA" w:rsidR="00082E69" w:rsidRPr="00807EA3" w:rsidRDefault="00082E69" w:rsidP="00082E69">
      <w:pPr>
        <w:pStyle w:val="EndNoteBibliography"/>
        <w:ind w:left="720" w:hanging="720"/>
        <w:rPr>
          <w:noProof/>
          <w:sz w:val="24"/>
          <w:szCs w:val="24"/>
        </w:rPr>
      </w:pPr>
      <w:r w:rsidRPr="00807EA3">
        <w:rPr>
          <w:noProof/>
          <w:sz w:val="24"/>
          <w:szCs w:val="24"/>
        </w:rPr>
        <w:t xml:space="preserve">Kirchner, W. H., </w:t>
      </w:r>
      <w:r w:rsidR="002E741D">
        <w:rPr>
          <w:noProof/>
          <w:sz w:val="24"/>
          <w:szCs w:val="24"/>
        </w:rPr>
        <w:t xml:space="preserve">and </w:t>
      </w:r>
      <w:r w:rsidRPr="00807EA3">
        <w:rPr>
          <w:noProof/>
          <w:sz w:val="24"/>
          <w:szCs w:val="24"/>
        </w:rPr>
        <w:t xml:space="preserve">Grasser, A. 1998. The significance of odor cues and dance language information for the food search behavior of honeybees (Hymenoptera: Apidae). </w:t>
      </w:r>
      <w:r w:rsidRPr="00807EA3">
        <w:rPr>
          <w:i/>
          <w:noProof/>
          <w:sz w:val="24"/>
          <w:szCs w:val="24"/>
        </w:rPr>
        <w:t>Journal of Insect Behavior</w:t>
      </w:r>
      <w:r w:rsidRPr="00807EA3">
        <w:rPr>
          <w:noProof/>
          <w:sz w:val="24"/>
          <w:szCs w:val="24"/>
        </w:rPr>
        <w:t xml:space="preserve"> 11: 169</w:t>
      </w:r>
      <w:r w:rsidR="002E741D">
        <w:rPr>
          <w:noProof/>
          <w:sz w:val="24"/>
          <w:szCs w:val="24"/>
        </w:rPr>
        <w:t>–</w:t>
      </w:r>
      <w:r w:rsidRPr="00807EA3">
        <w:rPr>
          <w:noProof/>
          <w:sz w:val="24"/>
          <w:szCs w:val="24"/>
        </w:rPr>
        <w:t>178.</w:t>
      </w:r>
    </w:p>
    <w:p w14:paraId="16CBD0AD" w14:textId="17C0FDB9" w:rsidR="00082E69" w:rsidRPr="00807EA3" w:rsidRDefault="00082E69" w:rsidP="00082E69">
      <w:pPr>
        <w:pStyle w:val="EndNoteBibliography"/>
        <w:ind w:left="720" w:hanging="720"/>
        <w:rPr>
          <w:noProof/>
          <w:sz w:val="24"/>
          <w:szCs w:val="24"/>
        </w:rPr>
      </w:pPr>
      <w:r w:rsidRPr="00807EA3">
        <w:rPr>
          <w:noProof/>
          <w:sz w:val="24"/>
          <w:szCs w:val="24"/>
        </w:rPr>
        <w:t xml:space="preserve">Richard, F.-J., Tarpy, D., </w:t>
      </w:r>
      <w:r w:rsidR="002E741D">
        <w:rPr>
          <w:noProof/>
          <w:sz w:val="24"/>
          <w:szCs w:val="24"/>
        </w:rPr>
        <w:t xml:space="preserve">and </w:t>
      </w:r>
      <w:r w:rsidRPr="00807EA3">
        <w:rPr>
          <w:noProof/>
          <w:sz w:val="24"/>
          <w:szCs w:val="24"/>
        </w:rPr>
        <w:t xml:space="preserve">Grozinger, C. 2007. Effects of insemination quantity on honey bee queen physiology. </w:t>
      </w:r>
      <w:r w:rsidRPr="00807EA3">
        <w:rPr>
          <w:i/>
          <w:noProof/>
          <w:sz w:val="24"/>
          <w:szCs w:val="24"/>
        </w:rPr>
        <w:t>PloS One</w:t>
      </w:r>
      <w:r w:rsidRPr="00807EA3">
        <w:rPr>
          <w:noProof/>
          <w:sz w:val="24"/>
          <w:szCs w:val="24"/>
        </w:rPr>
        <w:t xml:space="preserve"> 2: e980.doi:910:1371/journal.pone.0000980.</w:t>
      </w:r>
    </w:p>
    <w:p w14:paraId="24113FD6" w14:textId="7CE87567" w:rsidR="00082E69" w:rsidRPr="004E3B74" w:rsidRDefault="00082E69" w:rsidP="00082E69">
      <w:pPr>
        <w:pStyle w:val="EndNoteBibliography"/>
        <w:ind w:left="720" w:hanging="720"/>
        <w:rPr>
          <w:noProof/>
          <w:sz w:val="24"/>
          <w:szCs w:val="24"/>
        </w:rPr>
      </w:pPr>
      <w:r w:rsidRPr="00807EA3">
        <w:rPr>
          <w:noProof/>
          <w:sz w:val="24"/>
          <w:szCs w:val="24"/>
        </w:rPr>
        <w:t xml:space="preserve">Wenseleers, T., </w:t>
      </w:r>
      <w:r w:rsidR="002E741D">
        <w:rPr>
          <w:noProof/>
          <w:sz w:val="24"/>
          <w:szCs w:val="24"/>
        </w:rPr>
        <w:t xml:space="preserve">and </w:t>
      </w:r>
      <w:r w:rsidRPr="00807EA3">
        <w:rPr>
          <w:noProof/>
          <w:sz w:val="24"/>
          <w:szCs w:val="24"/>
        </w:rPr>
        <w:t>Rat</w:t>
      </w:r>
      <w:r w:rsidRPr="004E3B74">
        <w:rPr>
          <w:noProof/>
          <w:sz w:val="24"/>
          <w:szCs w:val="24"/>
        </w:rPr>
        <w:t xml:space="preserve">nieks, F. L. W. 2006. Comparative analysis of worker reproduction and policing in eusocial Hymenoptera supports relatedness theory. </w:t>
      </w:r>
      <w:r w:rsidRPr="004E3B74">
        <w:rPr>
          <w:i/>
          <w:noProof/>
          <w:sz w:val="24"/>
          <w:szCs w:val="24"/>
        </w:rPr>
        <w:t>American Naturalist</w:t>
      </w:r>
      <w:r w:rsidRPr="004E3B74">
        <w:rPr>
          <w:noProof/>
          <w:sz w:val="24"/>
          <w:szCs w:val="24"/>
        </w:rPr>
        <w:t xml:space="preserve"> 168: E163–E179.</w:t>
      </w:r>
    </w:p>
    <w:p w14:paraId="44CAB70E" w14:textId="77777777" w:rsidR="00E34E08" w:rsidRPr="004E3B74" w:rsidRDefault="00640493">
      <w:pPr>
        <w:rPr>
          <w:sz w:val="24"/>
          <w:szCs w:val="24"/>
        </w:rPr>
      </w:pPr>
      <w:r w:rsidRPr="004E3B74">
        <w:rPr>
          <w:sz w:val="24"/>
          <w:szCs w:val="24"/>
        </w:rPr>
        <w:fldChar w:fldCharType="end"/>
      </w:r>
    </w:p>
    <w:sectPr w:rsidR="00E34E08" w:rsidRPr="004E3B74"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00"/>
    <w:family w:val="auto"/>
    <w:notTrueType/>
    <w:pitch w:val="variable"/>
    <w:sig w:usb0="E00002FF" w:usb1="5000205A" w:usb2="00000000" w:usb3="00000000" w:csb0="0000019F"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00"/>
    <w:family w:val="auto"/>
    <w:notTrueType/>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662&lt;/item&gt;&lt;item&gt;709&lt;/item&gt;&lt;item&gt;1136&lt;/item&gt;&lt;item&gt;1435&lt;/item&gt;&lt;item&gt;2088&lt;/item&gt;&lt;item&gt;2089&lt;/item&gt;&lt;/record-ids&gt;&lt;/item&gt;&lt;/Libraries&gt;"/>
  </w:docVars>
  <w:rsids>
    <w:rsidRoot w:val="00BC1681"/>
    <w:rsid w:val="00082E69"/>
    <w:rsid w:val="000938E0"/>
    <w:rsid w:val="001D211F"/>
    <w:rsid w:val="001E2BD8"/>
    <w:rsid w:val="002328FC"/>
    <w:rsid w:val="00247FDE"/>
    <w:rsid w:val="002E15ED"/>
    <w:rsid w:val="002E741D"/>
    <w:rsid w:val="003B0D75"/>
    <w:rsid w:val="00460BB5"/>
    <w:rsid w:val="0046525B"/>
    <w:rsid w:val="00472085"/>
    <w:rsid w:val="004C7E6E"/>
    <w:rsid w:val="004E3B74"/>
    <w:rsid w:val="004E4705"/>
    <w:rsid w:val="006278D0"/>
    <w:rsid w:val="00640493"/>
    <w:rsid w:val="00662B41"/>
    <w:rsid w:val="00727C2A"/>
    <w:rsid w:val="00737AEA"/>
    <w:rsid w:val="00795B78"/>
    <w:rsid w:val="007F56F2"/>
    <w:rsid w:val="00807EA3"/>
    <w:rsid w:val="0083350A"/>
    <w:rsid w:val="00850F2B"/>
    <w:rsid w:val="00937B11"/>
    <w:rsid w:val="0096609C"/>
    <w:rsid w:val="00970F79"/>
    <w:rsid w:val="009836E7"/>
    <w:rsid w:val="009907E4"/>
    <w:rsid w:val="009B547F"/>
    <w:rsid w:val="00A62A49"/>
    <w:rsid w:val="00A70816"/>
    <w:rsid w:val="00AB506D"/>
    <w:rsid w:val="00AD2FA0"/>
    <w:rsid w:val="00B737F7"/>
    <w:rsid w:val="00B86F25"/>
    <w:rsid w:val="00B953F1"/>
    <w:rsid w:val="00B974F1"/>
    <w:rsid w:val="00BC1681"/>
    <w:rsid w:val="00BC39FC"/>
    <w:rsid w:val="00BF1D3D"/>
    <w:rsid w:val="00C17794"/>
    <w:rsid w:val="00D048A9"/>
    <w:rsid w:val="00D13F39"/>
    <w:rsid w:val="00DE19B1"/>
    <w:rsid w:val="00E24A86"/>
    <w:rsid w:val="00E34E08"/>
    <w:rsid w:val="00E83076"/>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1CB3"/>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customStyle="1" w:styleId="EndNoteBibliographyTitle">
    <w:name w:val="EndNote Bibliography Title"/>
    <w:basedOn w:val="Normal"/>
    <w:link w:val="EndNoteBibliographyTitleChar"/>
    <w:rsid w:val="00640493"/>
    <w:pPr>
      <w:jc w:val="center"/>
    </w:pPr>
  </w:style>
  <w:style w:type="character" w:customStyle="1" w:styleId="EndNoteBibliographyTitleChar">
    <w:name w:val="EndNote Bibliography Title Char"/>
    <w:basedOn w:val="DefaultParagraphFont"/>
    <w:link w:val="EndNoteBibliographyTitle"/>
    <w:rsid w:val="00640493"/>
    <w:rPr>
      <w:rFonts w:cs="Times New Roman"/>
      <w:b w:val="0"/>
      <w:bCs w:val="0"/>
      <w:sz w:val="20"/>
      <w:szCs w:val="20"/>
    </w:rPr>
  </w:style>
  <w:style w:type="paragraph" w:customStyle="1" w:styleId="EndNoteBibliography">
    <w:name w:val="EndNote Bibliography"/>
    <w:basedOn w:val="Normal"/>
    <w:link w:val="EndNoteBibliographyChar"/>
    <w:rsid w:val="00640493"/>
  </w:style>
  <w:style w:type="character" w:customStyle="1" w:styleId="EndNoteBibliographyChar">
    <w:name w:val="EndNote Bibliography Char"/>
    <w:basedOn w:val="DefaultParagraphFont"/>
    <w:link w:val="EndNoteBibliography"/>
    <w:rsid w:val="00640493"/>
    <w:rPr>
      <w:rFonts w:cs="Times New Roman"/>
      <w:b w:val="0"/>
      <w:bCs w:val="0"/>
      <w:sz w:val="20"/>
      <w:szCs w:val="20"/>
    </w:rPr>
  </w:style>
  <w:style w:type="paragraph" w:styleId="BalloonText">
    <w:name w:val="Balloon Text"/>
    <w:basedOn w:val="Normal"/>
    <w:link w:val="BalloonTextChar"/>
    <w:uiPriority w:val="99"/>
    <w:semiHidden/>
    <w:unhideWhenUsed/>
    <w:rsid w:val="0098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E7"/>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807EA3"/>
    <w:rPr>
      <w:sz w:val="16"/>
      <w:szCs w:val="16"/>
    </w:rPr>
  </w:style>
  <w:style w:type="paragraph" w:styleId="CommentText">
    <w:name w:val="annotation text"/>
    <w:basedOn w:val="Normal"/>
    <w:link w:val="CommentTextChar"/>
    <w:uiPriority w:val="99"/>
    <w:semiHidden/>
    <w:unhideWhenUsed/>
    <w:rsid w:val="00807EA3"/>
  </w:style>
  <w:style w:type="character" w:customStyle="1" w:styleId="CommentTextChar">
    <w:name w:val="Comment Text Char"/>
    <w:basedOn w:val="DefaultParagraphFont"/>
    <w:link w:val="CommentText"/>
    <w:uiPriority w:val="99"/>
    <w:semiHidden/>
    <w:rsid w:val="00807EA3"/>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807EA3"/>
    <w:rPr>
      <w:b/>
      <w:bCs/>
    </w:rPr>
  </w:style>
  <w:style w:type="character" w:customStyle="1" w:styleId="CommentSubjectChar">
    <w:name w:val="Comment Subject Char"/>
    <w:basedOn w:val="CommentTextChar"/>
    <w:link w:val="CommentSubject"/>
    <w:uiPriority w:val="99"/>
    <w:semiHidden/>
    <w:rsid w:val="00807EA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ED9E-0E92-4208-B6F5-CDF056B5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10e</dc:title>
  <dc:subject/>
  <dc:creator>Sinauer Associates, Inc.</dc:creator>
  <cp:keywords/>
  <dc:description/>
  <cp:lastModifiedBy>Mailler, Carolyn</cp:lastModifiedBy>
  <cp:revision>4</cp:revision>
  <dcterms:created xsi:type="dcterms:W3CDTF">2018-06-19T19:49:00Z</dcterms:created>
  <dcterms:modified xsi:type="dcterms:W3CDTF">2019-02-19T15:59:00Z</dcterms:modified>
  <cp:category/>
</cp:coreProperties>
</file>