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1621" w:rsidRDefault="00611621" w:rsidP="00611621">
      <w:pPr>
        <w:pStyle w:val="Heading1"/>
        <w:pBdr>
          <w:bottom w:val="single" w:sz="6" w:space="2" w:color="DFE6EB"/>
        </w:pBdr>
        <w:spacing w:before="0" w:beforeAutospacing="0" w:after="0" w:afterAutospacing="0"/>
        <w:rPr>
          <w:rFonts w:ascii="Verdana" w:hAnsi="Verdana"/>
          <w:color w:val="000000"/>
          <w:sz w:val="37"/>
          <w:szCs w:val="37"/>
        </w:rPr>
      </w:pPr>
      <w:r>
        <w:rPr>
          <w:rFonts w:ascii="Verdana" w:hAnsi="Verdana"/>
          <w:color w:val="000000"/>
          <w:sz w:val="37"/>
          <w:szCs w:val="37"/>
        </w:rPr>
        <w:t xml:space="preserve">Chapter </w:t>
      </w:r>
      <w:r w:rsidR="006D35C5">
        <w:rPr>
          <w:rFonts w:ascii="Verdana" w:hAnsi="Verdana"/>
          <w:color w:val="000000"/>
          <w:sz w:val="37"/>
          <w:szCs w:val="37"/>
        </w:rPr>
        <w:t>10</w:t>
      </w:r>
      <w:r>
        <w:rPr>
          <w:rFonts w:ascii="Verdana" w:hAnsi="Verdana"/>
          <w:color w:val="000000"/>
          <w:sz w:val="37"/>
          <w:szCs w:val="37"/>
        </w:rPr>
        <w:t xml:space="preserve"> </w:t>
      </w:r>
      <w:r w:rsidR="006467EA">
        <w:rPr>
          <w:rFonts w:ascii="Verdana" w:hAnsi="Verdana"/>
          <w:color w:val="000000"/>
          <w:sz w:val="37"/>
          <w:szCs w:val="37"/>
        </w:rPr>
        <w:t>Further Readings</w:t>
      </w:r>
    </w:p>
    <w:p w:rsidR="006467EA" w:rsidRDefault="006467EA" w:rsidP="006467EA">
      <w:pPr>
        <w:pStyle w:val="NormalWeb"/>
        <w:rPr>
          <w:rFonts w:ascii="Verdana" w:hAnsi="Verdana"/>
          <w:color w:val="000000"/>
          <w:sz w:val="21"/>
          <w:szCs w:val="21"/>
        </w:rPr>
      </w:pPr>
      <w:r>
        <w:rPr>
          <w:rStyle w:val="Emphasis"/>
          <w:rFonts w:ascii="Verdana" w:hAnsi="Verdana"/>
          <w:color w:val="000000"/>
          <w:sz w:val="21"/>
          <w:szCs w:val="21"/>
        </w:rPr>
        <w:t xml:space="preserve">(Note: This bibliography </w:t>
      </w:r>
      <w:proofErr w:type="gramStart"/>
      <w:r>
        <w:rPr>
          <w:rStyle w:val="Emphasis"/>
          <w:rFonts w:ascii="Verdana" w:hAnsi="Verdana"/>
          <w:color w:val="000000"/>
          <w:sz w:val="21"/>
          <w:szCs w:val="21"/>
        </w:rPr>
        <w:t>will be updated</w:t>
      </w:r>
      <w:proofErr w:type="gramEnd"/>
      <w:r>
        <w:rPr>
          <w:rStyle w:val="Emphasis"/>
          <w:rFonts w:ascii="Verdana" w:hAnsi="Verdana"/>
          <w:color w:val="000000"/>
          <w:sz w:val="21"/>
          <w:szCs w:val="21"/>
        </w:rPr>
        <w:t xml:space="preserve"> regularly.)</w:t>
      </w:r>
    </w:p>
    <w:p w:rsidR="006D35C5" w:rsidRDefault="006D35C5" w:rsidP="006D35C5">
      <w:pPr>
        <w:pStyle w:val="Heading3"/>
        <w:rPr>
          <w:rFonts w:ascii="Verdana" w:hAnsi="Verdana"/>
          <w:color w:val="000000"/>
          <w:sz w:val="26"/>
          <w:szCs w:val="26"/>
        </w:rPr>
      </w:pPr>
      <w:r>
        <w:rPr>
          <w:rFonts w:ascii="Verdana" w:hAnsi="Verdana"/>
          <w:color w:val="000000"/>
          <w:sz w:val="26"/>
          <w:szCs w:val="26"/>
        </w:rPr>
        <w:t>Tip-of-the-tongue states</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The TOT phenomenon </w:t>
      </w:r>
      <w:proofErr w:type="gramStart"/>
      <w:r>
        <w:rPr>
          <w:rStyle w:val="Emphasis"/>
          <w:rFonts w:ascii="Verdana" w:hAnsi="Verdana"/>
          <w:color w:val="000000"/>
          <w:sz w:val="21"/>
          <w:szCs w:val="21"/>
        </w:rPr>
        <w:t>has been used</w:t>
      </w:r>
      <w:proofErr w:type="gramEnd"/>
      <w:r>
        <w:rPr>
          <w:rStyle w:val="Emphasis"/>
          <w:rFonts w:ascii="Verdana" w:hAnsi="Verdana"/>
          <w:color w:val="000000"/>
          <w:sz w:val="21"/>
          <w:szCs w:val="21"/>
        </w:rPr>
        <w:t xml:space="preserve"> to argue that syntactic and semantic information in the lemma representation is separate from phonological information for words. In this paper, researchers look more closely at the nature of the syntactic/semantic information that remains accessible in a TOT state:</w:t>
      </w:r>
    </w:p>
    <w:p w:rsidR="006D35C5" w:rsidRDefault="006D35C5" w:rsidP="006D35C5">
      <w:pPr>
        <w:pStyle w:val="NormalWeb"/>
        <w:rPr>
          <w:rFonts w:ascii="Verdana" w:hAnsi="Verdana"/>
          <w:color w:val="000000"/>
          <w:sz w:val="21"/>
          <w:szCs w:val="21"/>
        </w:rPr>
      </w:pPr>
      <w:proofErr w:type="spellStart"/>
      <w:r>
        <w:rPr>
          <w:rFonts w:ascii="Verdana" w:hAnsi="Verdana"/>
          <w:color w:val="000000"/>
          <w:sz w:val="21"/>
          <w:szCs w:val="21"/>
        </w:rPr>
        <w:t>Vigliocco</w:t>
      </w:r>
      <w:proofErr w:type="spellEnd"/>
      <w:r>
        <w:rPr>
          <w:rFonts w:ascii="Verdana" w:hAnsi="Verdana"/>
          <w:color w:val="000000"/>
          <w:sz w:val="21"/>
          <w:szCs w:val="21"/>
        </w:rPr>
        <w:t xml:space="preserve">, G., Vinson, D. P., Martin, R. C., &amp; Garrett, M. F. (1999) Is “count” and “mass” information available when the noun is </w:t>
      </w:r>
      <w:proofErr w:type="gramStart"/>
      <w:r>
        <w:rPr>
          <w:rFonts w:ascii="Verdana" w:hAnsi="Verdana"/>
          <w:color w:val="000000"/>
          <w:sz w:val="21"/>
          <w:szCs w:val="21"/>
        </w:rPr>
        <w:t>not?</w:t>
      </w:r>
      <w:proofErr w:type="gramEnd"/>
      <w:r>
        <w:rPr>
          <w:rFonts w:ascii="Verdana" w:hAnsi="Verdana"/>
          <w:color w:val="000000"/>
          <w:sz w:val="21"/>
          <w:szCs w:val="21"/>
        </w:rPr>
        <w:t xml:space="preserve"> An investigation of tip of the tongue states and anomia. </w:t>
      </w:r>
      <w:r>
        <w:rPr>
          <w:rStyle w:val="Emphasis"/>
          <w:rFonts w:ascii="Verdana" w:hAnsi="Verdana"/>
          <w:color w:val="000000"/>
          <w:sz w:val="21"/>
          <w:szCs w:val="21"/>
        </w:rPr>
        <w:t>Journal of Memory and Language</w:t>
      </w:r>
      <w:r>
        <w:rPr>
          <w:rFonts w:ascii="Verdana" w:hAnsi="Verdana"/>
          <w:color w:val="000000"/>
          <w:sz w:val="21"/>
          <w:szCs w:val="21"/>
        </w:rPr>
        <w:t>, </w:t>
      </w:r>
      <w:r>
        <w:rPr>
          <w:rStyle w:val="Emphasis"/>
          <w:rFonts w:ascii="Verdana" w:hAnsi="Verdana"/>
          <w:color w:val="000000"/>
          <w:sz w:val="21"/>
          <w:szCs w:val="21"/>
        </w:rPr>
        <w:t>404</w:t>
      </w:r>
      <w:r>
        <w:rPr>
          <w:rFonts w:ascii="Verdana" w:hAnsi="Verdana"/>
          <w:color w:val="000000"/>
          <w:sz w:val="21"/>
          <w:szCs w:val="21"/>
        </w:rPr>
        <w:t>, 534–558.</w:t>
      </w:r>
    </w:p>
    <w:p w:rsidR="006D35C5" w:rsidRDefault="006D35C5" w:rsidP="006D35C5">
      <w:pPr>
        <w:pStyle w:val="NormalWeb"/>
        <w:rPr>
          <w:rFonts w:ascii="Verdana" w:hAnsi="Verdana"/>
          <w:color w:val="000000"/>
          <w:sz w:val="21"/>
          <w:szCs w:val="21"/>
        </w:rPr>
      </w:pPr>
      <w:r>
        <w:rPr>
          <w:rStyle w:val="Emphasis"/>
          <w:rFonts w:ascii="Verdana" w:hAnsi="Verdana"/>
          <w:color w:val="000000"/>
          <w:sz w:val="21"/>
          <w:szCs w:val="21"/>
        </w:rPr>
        <w:t>As suggested in Box 10.3, spending time in a state of failed lexical retrieval can increase the likelihood of failing to retrieve the same word later on. Does this mean that those who are prone to errors of speaking should avoid mistakes at all costs? Not necessarily, conclude researchers who have studied the treatment of patients with neurological disorders:</w:t>
      </w:r>
    </w:p>
    <w:p w:rsidR="006D35C5" w:rsidRDefault="006D35C5" w:rsidP="006D35C5">
      <w:pPr>
        <w:pStyle w:val="NormalWeb"/>
        <w:rPr>
          <w:rFonts w:ascii="Verdana" w:hAnsi="Verdana"/>
          <w:color w:val="000000"/>
          <w:sz w:val="21"/>
          <w:szCs w:val="21"/>
        </w:rPr>
      </w:pPr>
      <w:r>
        <w:rPr>
          <w:rFonts w:ascii="Verdana" w:hAnsi="Verdana"/>
          <w:color w:val="000000"/>
          <w:sz w:val="21"/>
          <w:szCs w:val="21"/>
        </w:rPr>
        <w:t xml:space="preserve">Middleton, E.L., &amp; </w:t>
      </w:r>
      <w:proofErr w:type="spellStart"/>
      <w:r>
        <w:rPr>
          <w:rFonts w:ascii="Verdana" w:hAnsi="Verdana"/>
          <w:color w:val="000000"/>
          <w:sz w:val="21"/>
          <w:szCs w:val="21"/>
        </w:rPr>
        <w:t>Shwartz</w:t>
      </w:r>
      <w:proofErr w:type="spellEnd"/>
      <w:r>
        <w:rPr>
          <w:rFonts w:ascii="Verdana" w:hAnsi="Verdana"/>
          <w:color w:val="000000"/>
          <w:sz w:val="21"/>
          <w:szCs w:val="21"/>
        </w:rPr>
        <w:t>, M.F. (2012) Errorless learning in cognitive rehabilitation: A critical review. </w:t>
      </w:r>
      <w:r>
        <w:rPr>
          <w:rStyle w:val="Emphasis"/>
          <w:rFonts w:ascii="Verdana" w:hAnsi="Verdana"/>
          <w:color w:val="000000"/>
          <w:sz w:val="21"/>
          <w:szCs w:val="21"/>
        </w:rPr>
        <w:t xml:space="preserve">Neuropsychological </w:t>
      </w:r>
      <w:proofErr w:type="spellStart"/>
      <w:r>
        <w:rPr>
          <w:rStyle w:val="Emphasis"/>
          <w:rFonts w:ascii="Verdana" w:hAnsi="Verdana"/>
          <w:color w:val="000000"/>
          <w:sz w:val="21"/>
          <w:szCs w:val="21"/>
        </w:rPr>
        <w:t>rehabiliation</w:t>
      </w:r>
      <w:proofErr w:type="spellEnd"/>
      <w:r>
        <w:rPr>
          <w:rStyle w:val="Emphasis"/>
          <w:rFonts w:ascii="Verdana" w:hAnsi="Verdana"/>
          <w:color w:val="000000"/>
          <w:sz w:val="21"/>
          <w:szCs w:val="21"/>
        </w:rPr>
        <w:t>, 22</w:t>
      </w:r>
      <w:r>
        <w:rPr>
          <w:rFonts w:ascii="Verdana" w:hAnsi="Verdana"/>
          <w:color w:val="000000"/>
          <w:sz w:val="21"/>
          <w:szCs w:val="21"/>
        </w:rPr>
        <w:t>, 138–168.</w:t>
      </w:r>
    </w:p>
    <w:p w:rsidR="006D35C5" w:rsidRDefault="006D35C5" w:rsidP="006D35C5">
      <w:pPr>
        <w:pStyle w:val="Heading3"/>
        <w:rPr>
          <w:rFonts w:ascii="Verdana" w:hAnsi="Verdana"/>
          <w:color w:val="000000"/>
          <w:sz w:val="26"/>
          <w:szCs w:val="26"/>
        </w:rPr>
      </w:pPr>
      <w:r>
        <w:rPr>
          <w:rFonts w:ascii="Verdana" w:hAnsi="Verdana"/>
          <w:color w:val="000000"/>
          <w:sz w:val="26"/>
          <w:szCs w:val="26"/>
        </w:rPr>
        <w:t>Speech errors and language experience</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The following paper uses the SLIP technique to see whether the nature of speech errors is sensitive to short-term statistical learning of frequent sound patterns:</w:t>
      </w:r>
    </w:p>
    <w:p w:rsidR="006D35C5" w:rsidRDefault="006D35C5" w:rsidP="006D35C5">
      <w:pPr>
        <w:pStyle w:val="NormalWeb"/>
        <w:rPr>
          <w:rFonts w:ascii="Verdana" w:hAnsi="Verdana"/>
          <w:color w:val="000000"/>
          <w:sz w:val="21"/>
          <w:szCs w:val="21"/>
        </w:rPr>
      </w:pPr>
      <w:r>
        <w:rPr>
          <w:rFonts w:ascii="Verdana" w:hAnsi="Verdana"/>
          <w:color w:val="000000"/>
          <w:sz w:val="21"/>
          <w:szCs w:val="21"/>
        </w:rPr>
        <w:t xml:space="preserve">Dell, G. S., Reed, K. D., Adams, D. R., &amp; Meyer, A. S. (2000) Speech errors, </w:t>
      </w:r>
      <w:proofErr w:type="spellStart"/>
      <w:r>
        <w:rPr>
          <w:rFonts w:ascii="Verdana" w:hAnsi="Verdana"/>
          <w:color w:val="000000"/>
          <w:sz w:val="21"/>
          <w:szCs w:val="21"/>
        </w:rPr>
        <w:t>phonotactic</w:t>
      </w:r>
      <w:proofErr w:type="spellEnd"/>
      <w:r>
        <w:rPr>
          <w:rFonts w:ascii="Verdana" w:hAnsi="Verdana"/>
          <w:color w:val="000000"/>
          <w:sz w:val="21"/>
          <w:szCs w:val="21"/>
        </w:rPr>
        <w:t xml:space="preserve"> constraints, and implicit learning: a study of the role of experience in language production. </w:t>
      </w:r>
      <w:r>
        <w:rPr>
          <w:rStyle w:val="Emphasis"/>
          <w:rFonts w:ascii="Verdana" w:hAnsi="Verdana"/>
          <w:color w:val="000000"/>
          <w:sz w:val="21"/>
          <w:szCs w:val="21"/>
        </w:rPr>
        <w:t>Journal of Experimental Psychology: Learning, Memory and Cognition</w:t>
      </w:r>
      <w:r>
        <w:rPr>
          <w:rFonts w:ascii="Verdana" w:hAnsi="Verdana"/>
          <w:color w:val="000000"/>
          <w:sz w:val="21"/>
          <w:szCs w:val="21"/>
        </w:rPr>
        <w:t>, </w:t>
      </w:r>
      <w:r>
        <w:rPr>
          <w:rStyle w:val="Emphasis"/>
          <w:rFonts w:ascii="Verdana" w:hAnsi="Verdana"/>
          <w:color w:val="000000"/>
          <w:sz w:val="21"/>
          <w:szCs w:val="21"/>
        </w:rPr>
        <w:t>26</w:t>
      </w:r>
      <w:r>
        <w:rPr>
          <w:rFonts w:ascii="Verdana" w:hAnsi="Verdana"/>
          <w:color w:val="000000"/>
          <w:sz w:val="21"/>
          <w:szCs w:val="21"/>
        </w:rPr>
        <w:t>, 1355–1367.</w:t>
      </w:r>
    </w:p>
    <w:p w:rsidR="006D35C5" w:rsidRDefault="006D35C5" w:rsidP="006D35C5">
      <w:pPr>
        <w:pStyle w:val="Heading3"/>
        <w:rPr>
          <w:rFonts w:ascii="Verdana" w:hAnsi="Verdana"/>
          <w:color w:val="000000"/>
          <w:sz w:val="26"/>
          <w:szCs w:val="26"/>
        </w:rPr>
      </w:pPr>
      <w:r>
        <w:rPr>
          <w:rFonts w:ascii="Verdana" w:hAnsi="Verdana"/>
          <w:color w:val="000000"/>
          <w:sz w:val="26"/>
          <w:szCs w:val="26"/>
        </w:rPr>
        <w:t>The costs and benefits of syntactic choice</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In section 10.4, we discussed how speakers </w:t>
      </w:r>
      <w:proofErr w:type="gramStart"/>
      <w:r>
        <w:rPr>
          <w:rStyle w:val="Emphasis"/>
          <w:rFonts w:ascii="Verdana" w:hAnsi="Verdana"/>
          <w:color w:val="000000"/>
          <w:sz w:val="21"/>
          <w:szCs w:val="21"/>
        </w:rPr>
        <w:t>are faced</w:t>
      </w:r>
      <w:proofErr w:type="gramEnd"/>
      <w:r>
        <w:rPr>
          <w:rStyle w:val="Emphasis"/>
          <w:rFonts w:ascii="Verdana" w:hAnsi="Verdana"/>
          <w:color w:val="000000"/>
          <w:sz w:val="21"/>
          <w:szCs w:val="21"/>
        </w:rPr>
        <w:t xml:space="preserve"> with the task of choosing from competing structures to encode a particular message. One advantage of having a number of syntactic choices is that it allows speakers to plan incrementally, so that the structure of the utterance can be adapted on the fly to accommodate material that </w:t>
      </w:r>
      <w:proofErr w:type="gramStart"/>
      <w:r>
        <w:rPr>
          <w:rStyle w:val="Emphasis"/>
          <w:rFonts w:ascii="Verdana" w:hAnsi="Verdana"/>
          <w:color w:val="000000"/>
          <w:sz w:val="21"/>
          <w:szCs w:val="21"/>
        </w:rPr>
        <w:t>has already been uttered</w:t>
      </w:r>
      <w:proofErr w:type="gramEnd"/>
      <w:r>
        <w:rPr>
          <w:rStyle w:val="Emphasis"/>
          <w:rFonts w:ascii="Verdana" w:hAnsi="Verdana"/>
          <w:color w:val="000000"/>
          <w:sz w:val="21"/>
          <w:szCs w:val="21"/>
        </w:rPr>
        <w:t xml:space="preserve">. </w:t>
      </w:r>
      <w:proofErr w:type="gramStart"/>
      <w:r>
        <w:rPr>
          <w:rStyle w:val="Emphasis"/>
          <w:rFonts w:ascii="Verdana" w:hAnsi="Verdana"/>
          <w:color w:val="000000"/>
          <w:sz w:val="21"/>
          <w:szCs w:val="21"/>
        </w:rPr>
        <w:t>But</w:t>
      </w:r>
      <w:proofErr w:type="gramEnd"/>
      <w:r>
        <w:rPr>
          <w:rStyle w:val="Emphasis"/>
          <w:rFonts w:ascii="Verdana" w:hAnsi="Verdana"/>
          <w:color w:val="000000"/>
          <w:sz w:val="21"/>
          <w:szCs w:val="21"/>
        </w:rPr>
        <w:t xml:space="preserve"> some languages have relatively free word order, resulting in an even greater proliferation of syntactic choice than is usual in English. This paper looks at language production in English and Russian and concludes that a bounty of choices can lead to delays in planning:</w:t>
      </w:r>
    </w:p>
    <w:p w:rsidR="006D35C5" w:rsidRDefault="006D35C5" w:rsidP="006D35C5">
      <w:pPr>
        <w:pStyle w:val="NormalWeb"/>
        <w:rPr>
          <w:rFonts w:ascii="Verdana" w:hAnsi="Verdana"/>
          <w:color w:val="000000"/>
          <w:sz w:val="21"/>
          <w:szCs w:val="21"/>
        </w:rPr>
      </w:pPr>
      <w:proofErr w:type="spellStart"/>
      <w:r>
        <w:rPr>
          <w:rFonts w:ascii="Verdana" w:hAnsi="Verdana"/>
          <w:color w:val="000000"/>
          <w:sz w:val="21"/>
          <w:szCs w:val="21"/>
        </w:rPr>
        <w:lastRenderedPageBreak/>
        <w:t>Myachykov</w:t>
      </w:r>
      <w:proofErr w:type="spellEnd"/>
      <w:r>
        <w:rPr>
          <w:rFonts w:ascii="Verdana" w:hAnsi="Verdana"/>
          <w:color w:val="000000"/>
          <w:sz w:val="21"/>
          <w:szCs w:val="21"/>
        </w:rPr>
        <w:t xml:space="preserve">, A., </w:t>
      </w:r>
      <w:proofErr w:type="spellStart"/>
      <w:r>
        <w:rPr>
          <w:rFonts w:ascii="Verdana" w:hAnsi="Verdana"/>
          <w:color w:val="000000"/>
          <w:sz w:val="21"/>
          <w:szCs w:val="21"/>
        </w:rPr>
        <w:t>Scheepers</w:t>
      </w:r>
      <w:proofErr w:type="spellEnd"/>
      <w:r>
        <w:rPr>
          <w:rFonts w:ascii="Verdana" w:hAnsi="Verdana"/>
          <w:color w:val="000000"/>
          <w:sz w:val="21"/>
          <w:szCs w:val="21"/>
        </w:rPr>
        <w:t xml:space="preserve">, C., </w:t>
      </w:r>
      <w:proofErr w:type="spellStart"/>
      <w:r>
        <w:rPr>
          <w:rFonts w:ascii="Verdana" w:hAnsi="Verdana"/>
          <w:color w:val="000000"/>
          <w:sz w:val="21"/>
          <w:szCs w:val="21"/>
        </w:rPr>
        <w:t>Garrod</w:t>
      </w:r>
      <w:proofErr w:type="spellEnd"/>
      <w:r>
        <w:rPr>
          <w:rFonts w:ascii="Verdana" w:hAnsi="Verdana"/>
          <w:color w:val="000000"/>
          <w:sz w:val="21"/>
          <w:szCs w:val="21"/>
        </w:rPr>
        <w:t xml:space="preserve">, S., Thompson, D., &amp; </w:t>
      </w:r>
      <w:proofErr w:type="spellStart"/>
      <w:r>
        <w:rPr>
          <w:rFonts w:ascii="Verdana" w:hAnsi="Verdana"/>
          <w:color w:val="000000"/>
          <w:sz w:val="21"/>
          <w:szCs w:val="21"/>
        </w:rPr>
        <w:t>Fedorova</w:t>
      </w:r>
      <w:proofErr w:type="spellEnd"/>
      <w:r>
        <w:rPr>
          <w:rFonts w:ascii="Verdana" w:hAnsi="Verdana"/>
          <w:color w:val="000000"/>
          <w:sz w:val="21"/>
          <w:szCs w:val="21"/>
        </w:rPr>
        <w:t>, O. (2013) Syntactic flexibility and competition in sentence production: The case of English and Russian. </w:t>
      </w:r>
      <w:r>
        <w:rPr>
          <w:rStyle w:val="Emphasis"/>
          <w:rFonts w:ascii="Verdana" w:hAnsi="Verdana"/>
          <w:color w:val="000000"/>
          <w:sz w:val="21"/>
          <w:szCs w:val="21"/>
        </w:rPr>
        <w:t>The Quarterly Journal of Experimental Psychology</w:t>
      </w:r>
      <w:r>
        <w:rPr>
          <w:rFonts w:ascii="Verdana" w:hAnsi="Verdana"/>
          <w:color w:val="000000"/>
          <w:sz w:val="21"/>
          <w:szCs w:val="21"/>
        </w:rPr>
        <w:t>, </w:t>
      </w:r>
      <w:r>
        <w:rPr>
          <w:rStyle w:val="Emphasis"/>
          <w:rFonts w:ascii="Verdana" w:hAnsi="Verdana"/>
          <w:color w:val="000000"/>
          <w:sz w:val="21"/>
          <w:szCs w:val="21"/>
        </w:rPr>
        <w:t>66</w:t>
      </w:r>
      <w:r>
        <w:rPr>
          <w:rFonts w:ascii="Verdana" w:hAnsi="Verdana"/>
          <w:color w:val="000000"/>
          <w:sz w:val="21"/>
          <w:szCs w:val="21"/>
        </w:rPr>
        <w:t>, 1601–1619.</w:t>
      </w:r>
    </w:p>
    <w:p w:rsidR="006D35C5" w:rsidRDefault="006D35C5" w:rsidP="006D35C5">
      <w:pPr>
        <w:pStyle w:val="NormalWeb"/>
        <w:rPr>
          <w:rFonts w:ascii="Verdana" w:hAnsi="Verdana"/>
          <w:color w:val="000000"/>
          <w:sz w:val="21"/>
          <w:szCs w:val="21"/>
        </w:rPr>
      </w:pPr>
      <w:r>
        <w:rPr>
          <w:rStyle w:val="Emphasis"/>
          <w:rFonts w:ascii="Verdana" w:hAnsi="Verdana"/>
          <w:color w:val="000000"/>
          <w:sz w:val="21"/>
          <w:szCs w:val="21"/>
        </w:rPr>
        <w:t xml:space="preserve">And an investigation of Korean </w:t>
      </w:r>
      <w:proofErr w:type="gramStart"/>
      <w:r>
        <w:rPr>
          <w:rStyle w:val="Emphasis"/>
          <w:rFonts w:ascii="Verdana" w:hAnsi="Verdana"/>
          <w:color w:val="000000"/>
          <w:sz w:val="21"/>
          <w:szCs w:val="21"/>
        </w:rPr>
        <w:t>speakers also</w:t>
      </w:r>
      <w:proofErr w:type="gramEnd"/>
      <w:r>
        <w:rPr>
          <w:rStyle w:val="Emphasis"/>
          <w:rFonts w:ascii="Verdana" w:hAnsi="Verdana"/>
          <w:color w:val="000000"/>
          <w:sz w:val="21"/>
          <w:szCs w:val="21"/>
        </w:rPr>
        <w:t xml:space="preserve"> concludes that there are sometimes penalties for syntactic choice and tries to reconcile these new findings with those of Ferreira (1996) which focused on the benefits of syntactic choice (see the discussion on p. 354 of the textbook):</w:t>
      </w:r>
    </w:p>
    <w:p w:rsidR="006D35C5" w:rsidRDefault="006D35C5" w:rsidP="006D35C5">
      <w:pPr>
        <w:pStyle w:val="NormalWeb"/>
        <w:rPr>
          <w:rFonts w:ascii="Verdana" w:hAnsi="Verdana"/>
          <w:color w:val="000000"/>
          <w:sz w:val="21"/>
          <w:szCs w:val="21"/>
        </w:rPr>
      </w:pPr>
      <w:r>
        <w:rPr>
          <w:rFonts w:ascii="Verdana" w:hAnsi="Verdana"/>
          <w:color w:val="000000"/>
          <w:sz w:val="21"/>
          <w:szCs w:val="21"/>
        </w:rPr>
        <w:t xml:space="preserve">Hwang, H., &amp; Kaiser, E. (2013) </w:t>
      </w:r>
      <w:proofErr w:type="gramStart"/>
      <w:r>
        <w:rPr>
          <w:rFonts w:ascii="Verdana" w:hAnsi="Verdana"/>
          <w:color w:val="000000"/>
          <w:sz w:val="21"/>
          <w:szCs w:val="21"/>
        </w:rPr>
        <w:t>Having</w:t>
      </w:r>
      <w:proofErr w:type="gramEnd"/>
      <w:r>
        <w:rPr>
          <w:rFonts w:ascii="Verdana" w:hAnsi="Verdana"/>
          <w:color w:val="000000"/>
          <w:sz w:val="21"/>
          <w:szCs w:val="21"/>
        </w:rPr>
        <w:t xml:space="preserve"> a syntactic choice is not always better: the effects of syntactic flexibility on Korean production. </w:t>
      </w:r>
      <w:r>
        <w:rPr>
          <w:rStyle w:val="Emphasis"/>
          <w:rFonts w:ascii="Verdana" w:hAnsi="Verdana"/>
          <w:color w:val="000000"/>
          <w:sz w:val="21"/>
          <w:szCs w:val="21"/>
        </w:rPr>
        <w:t>Language, Cognition and Neuroscience</w:t>
      </w:r>
      <w:r>
        <w:rPr>
          <w:rFonts w:ascii="Verdana" w:hAnsi="Verdana"/>
          <w:color w:val="000000"/>
          <w:sz w:val="21"/>
          <w:szCs w:val="21"/>
        </w:rPr>
        <w:t>, (ahead-of-print), 1–17. DOI:10.1080/23273798.2013.875212</w:t>
      </w:r>
    </w:p>
    <w:p w:rsidR="006D35C5" w:rsidRPr="00321CB2" w:rsidRDefault="006D35C5" w:rsidP="006D35C5">
      <w:pPr>
        <w:pStyle w:val="Heading3"/>
        <w:rPr>
          <w:rFonts w:ascii="Verdana" w:hAnsi="Verdana"/>
          <w:color w:val="000000"/>
          <w:sz w:val="26"/>
          <w:szCs w:val="26"/>
        </w:rPr>
      </w:pPr>
      <w:r w:rsidRPr="00321CB2">
        <w:rPr>
          <w:rFonts w:ascii="Verdana" w:hAnsi="Verdana"/>
          <w:color w:val="000000"/>
          <w:sz w:val="26"/>
          <w:szCs w:val="26"/>
        </w:rPr>
        <w:t>Cascaded models of activation</w:t>
      </w:r>
    </w:p>
    <w:p w:rsidR="006D35C5" w:rsidRPr="00321CB2" w:rsidRDefault="006D35C5" w:rsidP="006D35C5">
      <w:pPr>
        <w:pStyle w:val="NormalWeb"/>
        <w:spacing w:before="0" w:beforeAutospacing="0"/>
        <w:rPr>
          <w:rFonts w:ascii="Verdana" w:hAnsi="Verdana"/>
          <w:color w:val="000000"/>
          <w:sz w:val="21"/>
          <w:szCs w:val="21"/>
        </w:rPr>
      </w:pPr>
      <w:r w:rsidRPr="00321CB2">
        <w:rPr>
          <w:rStyle w:val="Emphasis"/>
          <w:rFonts w:ascii="Verdana" w:hAnsi="Verdana"/>
          <w:color w:val="000000"/>
          <w:sz w:val="21"/>
          <w:szCs w:val="21"/>
        </w:rPr>
        <w:t xml:space="preserve">As noted </w:t>
      </w:r>
      <w:r w:rsidR="00321CB2">
        <w:rPr>
          <w:rStyle w:val="Emphasis"/>
          <w:rFonts w:ascii="Verdana" w:hAnsi="Verdana"/>
          <w:color w:val="000000"/>
          <w:sz w:val="21"/>
          <w:szCs w:val="21"/>
        </w:rPr>
        <w:t>in Chapter 10</w:t>
      </w:r>
      <w:r w:rsidRPr="00321CB2">
        <w:rPr>
          <w:rStyle w:val="Emphasis"/>
          <w:rFonts w:ascii="Verdana" w:hAnsi="Verdana"/>
          <w:color w:val="000000"/>
          <w:sz w:val="21"/>
          <w:szCs w:val="21"/>
        </w:rPr>
        <w:t xml:space="preserve">, there is evidence for cascaded activation, in which phonological activation can begin even before a lemma </w:t>
      </w:r>
      <w:proofErr w:type="gramStart"/>
      <w:r w:rsidRPr="00321CB2">
        <w:rPr>
          <w:rStyle w:val="Emphasis"/>
          <w:rFonts w:ascii="Verdana" w:hAnsi="Verdana"/>
          <w:color w:val="000000"/>
          <w:sz w:val="21"/>
          <w:szCs w:val="21"/>
        </w:rPr>
        <w:t>has been selected</w:t>
      </w:r>
      <w:proofErr w:type="gramEnd"/>
      <w:r w:rsidRPr="00321CB2">
        <w:rPr>
          <w:rStyle w:val="Emphasis"/>
          <w:rFonts w:ascii="Verdana" w:hAnsi="Verdana"/>
          <w:color w:val="000000"/>
          <w:sz w:val="21"/>
          <w:szCs w:val="21"/>
        </w:rPr>
        <w:t xml:space="preserve">. </w:t>
      </w:r>
      <w:proofErr w:type="gramStart"/>
      <w:r w:rsidRPr="00321CB2">
        <w:rPr>
          <w:rStyle w:val="Emphasis"/>
          <w:rFonts w:ascii="Verdana" w:hAnsi="Verdana"/>
          <w:color w:val="000000"/>
          <w:sz w:val="21"/>
          <w:szCs w:val="21"/>
        </w:rPr>
        <w:t>But</w:t>
      </w:r>
      <w:proofErr w:type="gramEnd"/>
      <w:r w:rsidRPr="00321CB2">
        <w:rPr>
          <w:rStyle w:val="Emphasis"/>
          <w:rFonts w:ascii="Verdana" w:hAnsi="Verdana"/>
          <w:color w:val="000000"/>
          <w:sz w:val="21"/>
          <w:szCs w:val="21"/>
        </w:rPr>
        <w:t xml:space="preserve"> effects of cascaded activation are not found under all experimental conditions. The following papers investigate some of the conditions that underlie its variability:</w:t>
      </w:r>
    </w:p>
    <w:p w:rsidR="006D35C5" w:rsidRPr="00321CB2" w:rsidRDefault="006D35C5" w:rsidP="006D35C5">
      <w:pPr>
        <w:pStyle w:val="NormalWeb"/>
        <w:rPr>
          <w:rFonts w:ascii="Verdana" w:hAnsi="Verdana"/>
          <w:color w:val="000000"/>
          <w:sz w:val="21"/>
          <w:szCs w:val="21"/>
        </w:rPr>
      </w:pPr>
      <w:proofErr w:type="spellStart"/>
      <w:r w:rsidRPr="00321CB2">
        <w:rPr>
          <w:rFonts w:ascii="Verdana" w:hAnsi="Verdana"/>
          <w:color w:val="000000"/>
          <w:sz w:val="21"/>
          <w:szCs w:val="21"/>
        </w:rPr>
        <w:t>Mädebach</w:t>
      </w:r>
      <w:proofErr w:type="spellEnd"/>
      <w:r w:rsidRPr="00321CB2">
        <w:rPr>
          <w:rFonts w:ascii="Verdana" w:hAnsi="Verdana"/>
          <w:color w:val="000000"/>
          <w:sz w:val="21"/>
          <w:szCs w:val="21"/>
        </w:rPr>
        <w:t xml:space="preserve">, A., </w:t>
      </w:r>
      <w:proofErr w:type="spellStart"/>
      <w:r w:rsidRPr="00321CB2">
        <w:rPr>
          <w:rFonts w:ascii="Verdana" w:hAnsi="Verdana"/>
          <w:color w:val="000000"/>
          <w:sz w:val="21"/>
          <w:szCs w:val="21"/>
        </w:rPr>
        <w:t>Jescheniak</w:t>
      </w:r>
      <w:proofErr w:type="spellEnd"/>
      <w:r w:rsidRPr="00321CB2">
        <w:rPr>
          <w:rFonts w:ascii="Verdana" w:hAnsi="Verdana"/>
          <w:color w:val="000000"/>
          <w:sz w:val="21"/>
          <w:szCs w:val="21"/>
        </w:rPr>
        <w:t xml:space="preserve">, J. D., </w:t>
      </w:r>
      <w:proofErr w:type="spellStart"/>
      <w:r w:rsidRPr="00321CB2">
        <w:rPr>
          <w:rFonts w:ascii="Verdana" w:hAnsi="Verdana"/>
          <w:color w:val="000000"/>
          <w:sz w:val="21"/>
          <w:szCs w:val="21"/>
        </w:rPr>
        <w:t>Oppermann</w:t>
      </w:r>
      <w:proofErr w:type="spellEnd"/>
      <w:r w:rsidRPr="00321CB2">
        <w:rPr>
          <w:rFonts w:ascii="Verdana" w:hAnsi="Verdana"/>
          <w:color w:val="000000"/>
          <w:sz w:val="21"/>
          <w:szCs w:val="21"/>
        </w:rPr>
        <w:t xml:space="preserve">, F., &amp; </w:t>
      </w:r>
      <w:proofErr w:type="spellStart"/>
      <w:r w:rsidRPr="00321CB2">
        <w:rPr>
          <w:rFonts w:ascii="Verdana" w:hAnsi="Verdana"/>
          <w:color w:val="000000"/>
          <w:sz w:val="21"/>
          <w:szCs w:val="21"/>
        </w:rPr>
        <w:t>Schriefers</w:t>
      </w:r>
      <w:proofErr w:type="spellEnd"/>
      <w:r w:rsidRPr="00321CB2">
        <w:rPr>
          <w:rFonts w:ascii="Verdana" w:hAnsi="Verdana"/>
          <w:color w:val="000000"/>
          <w:sz w:val="21"/>
          <w:szCs w:val="21"/>
        </w:rPr>
        <w:t>, H. (2011) Ease of processing constrains the activation flow in the conceptual-lexical system during speech planning. </w:t>
      </w:r>
      <w:r w:rsidRPr="00321CB2">
        <w:rPr>
          <w:rStyle w:val="Emphasis"/>
          <w:rFonts w:ascii="Verdana" w:hAnsi="Verdana"/>
          <w:color w:val="000000"/>
          <w:sz w:val="21"/>
          <w:szCs w:val="21"/>
        </w:rPr>
        <w:t>Journal of Experimental Psychology: Learning, Memory, and Cognition</w:t>
      </w:r>
      <w:r w:rsidRPr="00321CB2">
        <w:rPr>
          <w:rFonts w:ascii="Verdana" w:hAnsi="Verdana"/>
          <w:color w:val="000000"/>
          <w:sz w:val="21"/>
          <w:szCs w:val="21"/>
        </w:rPr>
        <w:t>, </w:t>
      </w:r>
      <w:r w:rsidRPr="00321CB2">
        <w:rPr>
          <w:rStyle w:val="Emphasis"/>
          <w:rFonts w:ascii="Verdana" w:hAnsi="Verdana"/>
          <w:color w:val="000000"/>
          <w:sz w:val="21"/>
          <w:szCs w:val="21"/>
        </w:rPr>
        <w:t>37</w:t>
      </w:r>
      <w:r w:rsidRPr="00321CB2">
        <w:rPr>
          <w:rFonts w:ascii="Verdana" w:hAnsi="Verdana"/>
          <w:color w:val="000000"/>
          <w:sz w:val="21"/>
          <w:szCs w:val="21"/>
        </w:rPr>
        <w:t>, 649.</w:t>
      </w:r>
    </w:p>
    <w:p w:rsidR="006D35C5" w:rsidRDefault="006D35C5" w:rsidP="006D35C5">
      <w:pPr>
        <w:pStyle w:val="NormalWeb"/>
        <w:rPr>
          <w:rFonts w:ascii="Verdana" w:hAnsi="Verdana"/>
          <w:color w:val="000000"/>
          <w:sz w:val="21"/>
          <w:szCs w:val="21"/>
        </w:rPr>
      </w:pPr>
      <w:r w:rsidRPr="00321CB2">
        <w:rPr>
          <w:rFonts w:ascii="Verdana" w:hAnsi="Verdana"/>
          <w:color w:val="000000"/>
          <w:sz w:val="21"/>
          <w:szCs w:val="21"/>
        </w:rPr>
        <w:t xml:space="preserve">Bonin, P., Roux, S., Barry, C., &amp; </w:t>
      </w:r>
      <w:proofErr w:type="spellStart"/>
      <w:r w:rsidRPr="00321CB2">
        <w:rPr>
          <w:rFonts w:ascii="Verdana" w:hAnsi="Verdana"/>
          <w:color w:val="000000"/>
          <w:sz w:val="21"/>
          <w:szCs w:val="21"/>
        </w:rPr>
        <w:t>Canell</w:t>
      </w:r>
      <w:proofErr w:type="spellEnd"/>
      <w:r w:rsidRPr="00321CB2">
        <w:rPr>
          <w:rFonts w:ascii="Verdana" w:hAnsi="Verdana"/>
          <w:color w:val="000000"/>
          <w:sz w:val="21"/>
          <w:szCs w:val="21"/>
        </w:rPr>
        <w:t>, L. (2012) Evidence for a limited-cascading account of written word naming. </w:t>
      </w:r>
      <w:r w:rsidRPr="00321CB2">
        <w:rPr>
          <w:rStyle w:val="Emphasis"/>
          <w:rFonts w:ascii="Verdana" w:hAnsi="Verdana"/>
          <w:color w:val="000000"/>
          <w:sz w:val="21"/>
          <w:szCs w:val="21"/>
        </w:rPr>
        <w:t>Journal of Experimental Psychology: Learning, Memory, and Cognition</w:t>
      </w:r>
      <w:r w:rsidRPr="00321CB2">
        <w:rPr>
          <w:rFonts w:ascii="Verdana" w:hAnsi="Verdana"/>
          <w:color w:val="000000"/>
          <w:sz w:val="21"/>
          <w:szCs w:val="21"/>
        </w:rPr>
        <w:t>, </w:t>
      </w:r>
      <w:r w:rsidRPr="00321CB2">
        <w:rPr>
          <w:rStyle w:val="Emphasis"/>
          <w:rFonts w:ascii="Verdana" w:hAnsi="Verdana"/>
          <w:color w:val="000000"/>
          <w:sz w:val="21"/>
          <w:szCs w:val="21"/>
        </w:rPr>
        <w:t>38</w:t>
      </w:r>
      <w:r w:rsidRPr="00321CB2">
        <w:rPr>
          <w:rFonts w:ascii="Verdana" w:hAnsi="Verdana"/>
          <w:color w:val="000000"/>
          <w:sz w:val="21"/>
          <w:szCs w:val="21"/>
        </w:rPr>
        <w:t>, 1741.</w:t>
      </w:r>
    </w:p>
    <w:p w:rsidR="006D35C5" w:rsidRDefault="006D35C5" w:rsidP="006D35C5">
      <w:pPr>
        <w:pStyle w:val="Heading3"/>
        <w:rPr>
          <w:rFonts w:ascii="Verdana" w:hAnsi="Verdana"/>
          <w:color w:val="000000"/>
          <w:sz w:val="26"/>
          <w:szCs w:val="26"/>
        </w:rPr>
      </w:pPr>
      <w:r>
        <w:rPr>
          <w:rFonts w:ascii="Verdana" w:hAnsi="Verdana"/>
          <w:color w:val="000000"/>
          <w:sz w:val="26"/>
          <w:szCs w:val="26"/>
        </w:rPr>
        <w:t>The role of monitoring mechanisms</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Not all speech errors that </w:t>
      </w:r>
      <w:proofErr w:type="gramStart"/>
      <w:r>
        <w:rPr>
          <w:rStyle w:val="Emphasis"/>
          <w:rFonts w:ascii="Verdana" w:hAnsi="Verdana"/>
          <w:color w:val="000000"/>
          <w:sz w:val="21"/>
          <w:szCs w:val="21"/>
        </w:rPr>
        <w:t>are generated</w:t>
      </w:r>
      <w:proofErr w:type="gramEnd"/>
      <w:r>
        <w:rPr>
          <w:rStyle w:val="Emphasis"/>
          <w:rFonts w:ascii="Verdana" w:hAnsi="Verdana"/>
          <w:color w:val="000000"/>
          <w:sz w:val="21"/>
          <w:szCs w:val="21"/>
        </w:rPr>
        <w:t xml:space="preserve"> “in the mind” actually slip out as errors, suggesting that some of them are filtered out by internal monitoring mechanisms. What kinds of errors are most likely to be </w:t>
      </w:r>
      <w:proofErr w:type="gramStart"/>
      <w:r>
        <w:rPr>
          <w:rStyle w:val="Emphasis"/>
          <w:rFonts w:ascii="Verdana" w:hAnsi="Verdana"/>
          <w:color w:val="000000"/>
          <w:sz w:val="21"/>
          <w:szCs w:val="21"/>
        </w:rPr>
        <w:t>caught</w:t>
      </w:r>
      <w:proofErr w:type="gramEnd"/>
      <w:r>
        <w:rPr>
          <w:rStyle w:val="Emphasis"/>
          <w:rFonts w:ascii="Verdana" w:hAnsi="Verdana"/>
          <w:color w:val="000000"/>
          <w:sz w:val="21"/>
          <w:szCs w:val="21"/>
        </w:rPr>
        <w:t xml:space="preserve"> and stopped? The following papers address this question:</w:t>
      </w:r>
    </w:p>
    <w:p w:rsidR="006D35C5" w:rsidRDefault="006D35C5" w:rsidP="006D35C5">
      <w:pPr>
        <w:pStyle w:val="NormalWeb"/>
        <w:rPr>
          <w:rFonts w:ascii="Verdana" w:hAnsi="Verdana"/>
          <w:color w:val="000000"/>
          <w:sz w:val="21"/>
          <w:szCs w:val="21"/>
        </w:rPr>
      </w:pPr>
      <w:proofErr w:type="spellStart"/>
      <w:r>
        <w:rPr>
          <w:rFonts w:ascii="Verdana" w:hAnsi="Verdana"/>
          <w:color w:val="000000"/>
          <w:sz w:val="21"/>
          <w:szCs w:val="21"/>
        </w:rPr>
        <w:t>Hartsuiker</w:t>
      </w:r>
      <w:proofErr w:type="spellEnd"/>
      <w:r>
        <w:rPr>
          <w:rFonts w:ascii="Verdana" w:hAnsi="Verdana"/>
          <w:color w:val="000000"/>
          <w:sz w:val="21"/>
          <w:szCs w:val="21"/>
        </w:rPr>
        <w:t>, R.J. (2006) Are speech error patterns affected by a monitoring bias? </w:t>
      </w:r>
      <w:r>
        <w:rPr>
          <w:rStyle w:val="Emphasis"/>
          <w:rFonts w:ascii="Verdana" w:hAnsi="Verdana"/>
          <w:color w:val="000000"/>
          <w:sz w:val="21"/>
          <w:szCs w:val="21"/>
        </w:rPr>
        <w:t>Language and Cognitive Processes, 21</w:t>
      </w:r>
      <w:r>
        <w:rPr>
          <w:rFonts w:ascii="Verdana" w:hAnsi="Verdana"/>
          <w:color w:val="000000"/>
          <w:sz w:val="21"/>
          <w:szCs w:val="21"/>
        </w:rPr>
        <w:t>, 856–891.</w:t>
      </w:r>
    </w:p>
    <w:p w:rsidR="006D35C5" w:rsidRDefault="006D35C5" w:rsidP="006D35C5">
      <w:pPr>
        <w:pStyle w:val="NormalWeb"/>
        <w:rPr>
          <w:rFonts w:ascii="Verdana" w:hAnsi="Verdana"/>
          <w:color w:val="000000"/>
          <w:sz w:val="21"/>
          <w:szCs w:val="21"/>
        </w:rPr>
      </w:pPr>
      <w:r>
        <w:rPr>
          <w:rFonts w:ascii="Verdana" w:hAnsi="Verdana"/>
          <w:color w:val="000000"/>
          <w:sz w:val="21"/>
          <w:szCs w:val="21"/>
        </w:rPr>
        <w:t xml:space="preserve">Corley, M., </w:t>
      </w:r>
      <w:proofErr w:type="spellStart"/>
      <w:r>
        <w:rPr>
          <w:rFonts w:ascii="Verdana" w:hAnsi="Verdana"/>
          <w:color w:val="000000"/>
          <w:sz w:val="21"/>
          <w:szCs w:val="21"/>
        </w:rPr>
        <w:t>Brocklehurst</w:t>
      </w:r>
      <w:proofErr w:type="spellEnd"/>
      <w:r>
        <w:rPr>
          <w:rFonts w:ascii="Verdana" w:hAnsi="Verdana"/>
          <w:color w:val="000000"/>
          <w:sz w:val="21"/>
          <w:szCs w:val="21"/>
        </w:rPr>
        <w:t>, P. H., &amp; Moat, H. S. (2011) Error biases in inner and overt speech: Evidence from tongue twisters. </w:t>
      </w:r>
      <w:r>
        <w:rPr>
          <w:rStyle w:val="Emphasis"/>
          <w:rFonts w:ascii="Verdana" w:hAnsi="Verdana"/>
          <w:color w:val="000000"/>
          <w:sz w:val="21"/>
          <w:szCs w:val="21"/>
        </w:rPr>
        <w:t>Journal of experimental psychology: Learning, memory, and cognition</w:t>
      </w:r>
      <w:r>
        <w:rPr>
          <w:rFonts w:ascii="Verdana" w:hAnsi="Verdana"/>
          <w:color w:val="000000"/>
          <w:sz w:val="21"/>
          <w:szCs w:val="21"/>
        </w:rPr>
        <w:t>, </w:t>
      </w:r>
      <w:r>
        <w:rPr>
          <w:rStyle w:val="Emphasis"/>
          <w:rFonts w:ascii="Verdana" w:hAnsi="Verdana"/>
          <w:color w:val="000000"/>
          <w:sz w:val="21"/>
          <w:szCs w:val="21"/>
        </w:rPr>
        <w:t>371</w:t>
      </w:r>
      <w:r>
        <w:rPr>
          <w:rFonts w:ascii="Verdana" w:hAnsi="Verdana"/>
          <w:color w:val="000000"/>
          <w:sz w:val="21"/>
          <w:szCs w:val="21"/>
        </w:rPr>
        <w:t>, 162–175.</w:t>
      </w:r>
    </w:p>
    <w:p w:rsidR="006D35C5" w:rsidRDefault="006D35C5" w:rsidP="006D35C5">
      <w:pPr>
        <w:pStyle w:val="NormalWeb"/>
        <w:rPr>
          <w:rFonts w:ascii="Verdana" w:hAnsi="Verdana"/>
          <w:color w:val="000000"/>
          <w:sz w:val="21"/>
          <w:szCs w:val="21"/>
        </w:rPr>
      </w:pPr>
      <w:proofErr w:type="spellStart"/>
      <w:r>
        <w:rPr>
          <w:rFonts w:ascii="Verdana" w:hAnsi="Verdana"/>
          <w:color w:val="000000"/>
          <w:sz w:val="21"/>
          <w:szCs w:val="21"/>
        </w:rPr>
        <w:t>Nooteboom</w:t>
      </w:r>
      <w:proofErr w:type="spellEnd"/>
      <w:r>
        <w:rPr>
          <w:rFonts w:ascii="Verdana" w:hAnsi="Verdana"/>
          <w:color w:val="000000"/>
          <w:sz w:val="21"/>
          <w:szCs w:val="21"/>
        </w:rPr>
        <w:t xml:space="preserve">, S.G., &amp; </w:t>
      </w:r>
      <w:proofErr w:type="spellStart"/>
      <w:r>
        <w:rPr>
          <w:rFonts w:ascii="Verdana" w:hAnsi="Verdana"/>
          <w:color w:val="000000"/>
          <w:sz w:val="21"/>
          <w:szCs w:val="21"/>
        </w:rPr>
        <w:t>Quené</w:t>
      </w:r>
      <w:proofErr w:type="spellEnd"/>
      <w:r>
        <w:rPr>
          <w:rFonts w:ascii="Verdana" w:hAnsi="Verdana"/>
          <w:color w:val="000000"/>
          <w:sz w:val="21"/>
          <w:szCs w:val="21"/>
        </w:rPr>
        <w:t xml:space="preserve">, H. (2013) Heft </w:t>
      </w:r>
      <w:proofErr w:type="spellStart"/>
      <w:r>
        <w:rPr>
          <w:rFonts w:ascii="Verdana" w:hAnsi="Verdana"/>
          <w:color w:val="000000"/>
          <w:sz w:val="21"/>
          <w:szCs w:val="21"/>
        </w:rPr>
        <w:t>Lemisphere</w:t>
      </w:r>
      <w:proofErr w:type="spellEnd"/>
      <w:r>
        <w:rPr>
          <w:rFonts w:ascii="Verdana" w:hAnsi="Verdana"/>
          <w:color w:val="000000"/>
          <w:sz w:val="21"/>
          <w:szCs w:val="21"/>
        </w:rPr>
        <w:t>: Exchanges predominate in segmental speech errors. </w:t>
      </w:r>
      <w:r>
        <w:rPr>
          <w:rStyle w:val="Emphasis"/>
          <w:rFonts w:ascii="Verdana" w:hAnsi="Verdana"/>
          <w:color w:val="000000"/>
          <w:sz w:val="21"/>
          <w:szCs w:val="21"/>
        </w:rPr>
        <w:t>Journal of Memory and Language, 68</w:t>
      </w:r>
      <w:r>
        <w:rPr>
          <w:rFonts w:ascii="Verdana" w:hAnsi="Verdana"/>
          <w:color w:val="000000"/>
          <w:sz w:val="21"/>
          <w:szCs w:val="21"/>
        </w:rPr>
        <w:t>, 26–38.</w:t>
      </w:r>
    </w:p>
    <w:p w:rsidR="006D35C5" w:rsidRDefault="006D35C5" w:rsidP="006D35C5">
      <w:pPr>
        <w:pStyle w:val="Heading3"/>
        <w:rPr>
          <w:rFonts w:ascii="Verdana" w:hAnsi="Verdana"/>
          <w:color w:val="000000"/>
          <w:sz w:val="26"/>
          <w:szCs w:val="26"/>
        </w:rPr>
      </w:pPr>
      <w:r>
        <w:rPr>
          <w:rFonts w:ascii="Verdana" w:hAnsi="Verdana"/>
          <w:color w:val="000000"/>
          <w:sz w:val="26"/>
          <w:szCs w:val="26"/>
        </w:rPr>
        <w:t>The scope of planning</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lastRenderedPageBreak/>
        <w:t xml:space="preserve">It is generally believed that planning the message or conceptual content of an utterance takes place over a </w:t>
      </w:r>
      <w:proofErr w:type="gramStart"/>
      <w:r>
        <w:rPr>
          <w:rStyle w:val="Emphasis"/>
          <w:rFonts w:ascii="Verdana" w:hAnsi="Verdana"/>
          <w:color w:val="000000"/>
          <w:sz w:val="21"/>
          <w:szCs w:val="21"/>
        </w:rPr>
        <w:t>fairly large</w:t>
      </w:r>
      <w:proofErr w:type="gramEnd"/>
      <w:r>
        <w:rPr>
          <w:rStyle w:val="Emphasis"/>
          <w:rFonts w:ascii="Verdana" w:hAnsi="Verdana"/>
          <w:color w:val="000000"/>
          <w:sz w:val="21"/>
          <w:szCs w:val="21"/>
        </w:rPr>
        <w:t xml:space="preserve"> span of content. </w:t>
      </w:r>
      <w:proofErr w:type="gramStart"/>
      <w:r>
        <w:rPr>
          <w:rStyle w:val="Emphasis"/>
          <w:rFonts w:ascii="Verdana" w:hAnsi="Verdana"/>
          <w:color w:val="000000"/>
          <w:sz w:val="21"/>
          <w:szCs w:val="21"/>
        </w:rPr>
        <w:t>But</w:t>
      </w:r>
      <w:proofErr w:type="gramEnd"/>
      <w:r>
        <w:rPr>
          <w:rStyle w:val="Emphasis"/>
          <w:rFonts w:ascii="Verdana" w:hAnsi="Verdana"/>
          <w:color w:val="000000"/>
          <w:sz w:val="21"/>
          <w:szCs w:val="21"/>
        </w:rPr>
        <w:t xml:space="preserve"> in real-time conversation, speakers might be confronted with new or changing information that prompts them to revise the conceptual content on the fly. This paper looks at the timing relationship between eye movements and disfluencies to get a sense of how speakers engage in dynamic message planning as they become aware of new relevant information:</w:t>
      </w:r>
    </w:p>
    <w:p w:rsidR="006D35C5" w:rsidRDefault="006D35C5" w:rsidP="006D35C5">
      <w:pPr>
        <w:pStyle w:val="NormalWeb"/>
        <w:rPr>
          <w:rFonts w:ascii="Verdana" w:hAnsi="Verdana"/>
          <w:color w:val="000000"/>
          <w:sz w:val="21"/>
          <w:szCs w:val="21"/>
        </w:rPr>
      </w:pPr>
      <w:r>
        <w:rPr>
          <w:rFonts w:ascii="Verdana" w:hAnsi="Verdana"/>
          <w:color w:val="000000"/>
          <w:sz w:val="21"/>
          <w:szCs w:val="21"/>
        </w:rPr>
        <w:t xml:space="preserve">Brown-Schmidt, S., &amp; </w:t>
      </w:r>
      <w:proofErr w:type="spellStart"/>
      <w:r>
        <w:rPr>
          <w:rFonts w:ascii="Verdana" w:hAnsi="Verdana"/>
          <w:color w:val="000000"/>
          <w:sz w:val="21"/>
          <w:szCs w:val="21"/>
        </w:rPr>
        <w:t>Tanenhaus</w:t>
      </w:r>
      <w:proofErr w:type="spellEnd"/>
      <w:r>
        <w:rPr>
          <w:rFonts w:ascii="Verdana" w:hAnsi="Verdana"/>
          <w:color w:val="000000"/>
          <w:sz w:val="21"/>
          <w:szCs w:val="21"/>
        </w:rPr>
        <w:t xml:space="preserve">, M. (2006) </w:t>
      </w:r>
      <w:proofErr w:type="gramStart"/>
      <w:r>
        <w:rPr>
          <w:rFonts w:ascii="Verdana" w:hAnsi="Verdana"/>
          <w:color w:val="000000"/>
          <w:sz w:val="21"/>
          <w:szCs w:val="21"/>
        </w:rPr>
        <w:t>Watching</w:t>
      </w:r>
      <w:proofErr w:type="gramEnd"/>
      <w:r>
        <w:rPr>
          <w:rFonts w:ascii="Verdana" w:hAnsi="Verdana"/>
          <w:color w:val="000000"/>
          <w:sz w:val="21"/>
          <w:szCs w:val="21"/>
        </w:rPr>
        <w:t xml:space="preserve"> the eyes when talking about size: An investigation of message formulation and utterance planning. </w:t>
      </w:r>
      <w:r>
        <w:rPr>
          <w:rStyle w:val="Emphasis"/>
          <w:rFonts w:ascii="Verdana" w:hAnsi="Verdana"/>
          <w:color w:val="000000"/>
          <w:sz w:val="21"/>
          <w:szCs w:val="21"/>
        </w:rPr>
        <w:t>Journal of Memory and Language, 54</w:t>
      </w:r>
      <w:r>
        <w:rPr>
          <w:rFonts w:ascii="Verdana" w:hAnsi="Verdana"/>
          <w:color w:val="000000"/>
          <w:sz w:val="21"/>
          <w:szCs w:val="21"/>
        </w:rPr>
        <w:t>, 592–609.</w:t>
      </w:r>
    </w:p>
    <w:p w:rsidR="006D35C5" w:rsidRDefault="006D35C5" w:rsidP="006D35C5">
      <w:pPr>
        <w:pStyle w:val="NormalWeb"/>
        <w:rPr>
          <w:rFonts w:ascii="Verdana" w:hAnsi="Verdana"/>
          <w:color w:val="000000"/>
          <w:sz w:val="21"/>
          <w:szCs w:val="21"/>
        </w:rPr>
      </w:pPr>
      <w:r>
        <w:rPr>
          <w:rStyle w:val="Emphasis"/>
          <w:rFonts w:ascii="Verdana" w:hAnsi="Verdana"/>
          <w:color w:val="000000"/>
          <w:sz w:val="21"/>
          <w:szCs w:val="21"/>
        </w:rPr>
        <w:t>Is the scope of syntactic planning dependent on the length of phrases or on the nature of the syntactic relationships among linguistic units? This paper argues that planning reflects groupings of units that are structurally dependent on each other.</w:t>
      </w:r>
    </w:p>
    <w:p w:rsidR="006D35C5" w:rsidRDefault="006D35C5" w:rsidP="006D35C5">
      <w:pPr>
        <w:pStyle w:val="NormalWeb"/>
        <w:rPr>
          <w:rFonts w:ascii="Verdana" w:hAnsi="Verdana"/>
          <w:color w:val="000000"/>
          <w:sz w:val="21"/>
          <w:szCs w:val="21"/>
        </w:rPr>
      </w:pPr>
      <w:r>
        <w:rPr>
          <w:rFonts w:ascii="Verdana" w:hAnsi="Verdana"/>
          <w:color w:val="000000"/>
          <w:sz w:val="21"/>
          <w:szCs w:val="21"/>
        </w:rPr>
        <w:t>Lee, E-K., Brown-Schmidt, S., &amp; Watson, D. G. (2013) Ways of looking ahead: Hierarchical planning in language production. </w:t>
      </w:r>
      <w:r>
        <w:rPr>
          <w:rStyle w:val="Emphasis"/>
          <w:rFonts w:ascii="Verdana" w:hAnsi="Verdana"/>
          <w:color w:val="000000"/>
          <w:sz w:val="21"/>
          <w:szCs w:val="21"/>
        </w:rPr>
        <w:t>Cognition, 129</w:t>
      </w:r>
      <w:r>
        <w:rPr>
          <w:rFonts w:ascii="Verdana" w:hAnsi="Verdana"/>
          <w:color w:val="000000"/>
          <w:sz w:val="21"/>
          <w:szCs w:val="21"/>
        </w:rPr>
        <w:t>, 544–562.</w:t>
      </w:r>
    </w:p>
    <w:p w:rsidR="006D35C5" w:rsidRDefault="006D35C5" w:rsidP="006D35C5">
      <w:pPr>
        <w:pStyle w:val="Heading3"/>
        <w:rPr>
          <w:rFonts w:ascii="Verdana" w:hAnsi="Verdana"/>
          <w:color w:val="000000"/>
          <w:sz w:val="26"/>
          <w:szCs w:val="26"/>
        </w:rPr>
      </w:pPr>
      <w:r>
        <w:rPr>
          <w:rFonts w:ascii="Verdana" w:hAnsi="Verdana"/>
          <w:color w:val="000000"/>
          <w:sz w:val="26"/>
          <w:szCs w:val="26"/>
        </w:rPr>
        <w:t>Individual differences in language production</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Do individual or situational differences in available working memory affect language production? The following paper looks at errors of subject–verb agreement and concludes that they do:</w:t>
      </w:r>
    </w:p>
    <w:p w:rsidR="006D35C5" w:rsidRDefault="006D35C5" w:rsidP="006D35C5">
      <w:pPr>
        <w:pStyle w:val="NormalWeb"/>
        <w:rPr>
          <w:rFonts w:ascii="Verdana" w:hAnsi="Verdana"/>
          <w:color w:val="000000"/>
          <w:sz w:val="21"/>
          <w:szCs w:val="21"/>
        </w:rPr>
      </w:pPr>
      <w:proofErr w:type="spellStart"/>
      <w:r>
        <w:rPr>
          <w:rFonts w:ascii="Verdana" w:hAnsi="Verdana"/>
          <w:color w:val="000000"/>
          <w:sz w:val="21"/>
          <w:szCs w:val="21"/>
        </w:rPr>
        <w:t>Hartsuiker</w:t>
      </w:r>
      <w:proofErr w:type="spellEnd"/>
      <w:r>
        <w:rPr>
          <w:rFonts w:ascii="Verdana" w:hAnsi="Verdana"/>
          <w:color w:val="000000"/>
          <w:sz w:val="21"/>
          <w:szCs w:val="21"/>
        </w:rPr>
        <w:t xml:space="preserve">, R.J., &amp; </w:t>
      </w:r>
      <w:proofErr w:type="spellStart"/>
      <w:r>
        <w:rPr>
          <w:rFonts w:ascii="Verdana" w:hAnsi="Verdana"/>
          <w:color w:val="000000"/>
          <w:sz w:val="21"/>
          <w:szCs w:val="21"/>
        </w:rPr>
        <w:t>Barkhuysen</w:t>
      </w:r>
      <w:proofErr w:type="spellEnd"/>
      <w:r>
        <w:rPr>
          <w:rFonts w:ascii="Verdana" w:hAnsi="Verdana"/>
          <w:color w:val="000000"/>
          <w:sz w:val="21"/>
          <w:szCs w:val="21"/>
        </w:rPr>
        <w:t>, P.N. (2006) Language production and working memory: The case of subject–verb agreement. </w:t>
      </w:r>
      <w:r>
        <w:rPr>
          <w:rStyle w:val="Emphasis"/>
          <w:rFonts w:ascii="Verdana" w:hAnsi="Verdana"/>
          <w:color w:val="000000"/>
          <w:sz w:val="21"/>
          <w:szCs w:val="21"/>
        </w:rPr>
        <w:t>Language and Cognitive Processes, 21</w:t>
      </w:r>
      <w:r>
        <w:rPr>
          <w:rFonts w:ascii="Verdana" w:hAnsi="Verdana"/>
          <w:color w:val="000000"/>
          <w:sz w:val="21"/>
          <w:szCs w:val="21"/>
        </w:rPr>
        <w:t>, 181–204.</w:t>
      </w:r>
    </w:p>
    <w:p w:rsidR="006D35C5" w:rsidRDefault="006D35C5" w:rsidP="006D35C5">
      <w:pPr>
        <w:pStyle w:val="NormalWeb"/>
        <w:rPr>
          <w:rFonts w:ascii="Verdana" w:hAnsi="Verdana"/>
          <w:color w:val="000000"/>
          <w:sz w:val="21"/>
          <w:szCs w:val="21"/>
        </w:rPr>
      </w:pPr>
      <w:r>
        <w:rPr>
          <w:rStyle w:val="Emphasis"/>
          <w:rFonts w:ascii="Verdana" w:hAnsi="Verdana"/>
          <w:color w:val="000000"/>
          <w:sz w:val="21"/>
          <w:szCs w:val="21"/>
        </w:rPr>
        <w:t>Can differences in working memory affect the scope of speech planning? The following paper presents some evidence in favor of this idea:</w:t>
      </w:r>
    </w:p>
    <w:p w:rsidR="006D35C5" w:rsidRDefault="006D35C5" w:rsidP="006D35C5">
      <w:pPr>
        <w:pStyle w:val="NormalWeb"/>
        <w:rPr>
          <w:rFonts w:ascii="Verdana" w:hAnsi="Verdana"/>
          <w:color w:val="000000"/>
          <w:sz w:val="21"/>
          <w:szCs w:val="21"/>
        </w:rPr>
      </w:pPr>
      <w:proofErr w:type="spellStart"/>
      <w:r>
        <w:rPr>
          <w:rFonts w:ascii="Verdana" w:hAnsi="Verdana"/>
          <w:color w:val="000000"/>
          <w:sz w:val="21"/>
          <w:szCs w:val="21"/>
        </w:rPr>
        <w:t>Swets</w:t>
      </w:r>
      <w:proofErr w:type="spellEnd"/>
      <w:r>
        <w:rPr>
          <w:rFonts w:ascii="Verdana" w:hAnsi="Verdana"/>
          <w:color w:val="000000"/>
          <w:sz w:val="21"/>
          <w:szCs w:val="21"/>
        </w:rPr>
        <w:t xml:space="preserve">, B., </w:t>
      </w:r>
      <w:proofErr w:type="spellStart"/>
      <w:r>
        <w:rPr>
          <w:rFonts w:ascii="Verdana" w:hAnsi="Verdana"/>
          <w:color w:val="000000"/>
          <w:sz w:val="21"/>
          <w:szCs w:val="21"/>
        </w:rPr>
        <w:t>Jacovina</w:t>
      </w:r>
      <w:proofErr w:type="spellEnd"/>
      <w:r>
        <w:rPr>
          <w:rFonts w:ascii="Verdana" w:hAnsi="Verdana"/>
          <w:color w:val="000000"/>
          <w:sz w:val="21"/>
          <w:szCs w:val="21"/>
        </w:rPr>
        <w:t xml:space="preserve">, M. E., &amp; </w:t>
      </w:r>
      <w:proofErr w:type="spellStart"/>
      <w:r>
        <w:rPr>
          <w:rFonts w:ascii="Verdana" w:hAnsi="Verdana"/>
          <w:color w:val="000000"/>
          <w:sz w:val="21"/>
          <w:szCs w:val="21"/>
        </w:rPr>
        <w:t>Gerrig</w:t>
      </w:r>
      <w:proofErr w:type="spellEnd"/>
      <w:r>
        <w:rPr>
          <w:rFonts w:ascii="Verdana" w:hAnsi="Verdana"/>
          <w:color w:val="000000"/>
          <w:sz w:val="21"/>
          <w:szCs w:val="21"/>
        </w:rPr>
        <w:t>, R. J. (2014) Individual differences in the scope of speech planning: evidence from eye-movements. </w:t>
      </w:r>
      <w:r>
        <w:rPr>
          <w:rStyle w:val="Emphasis"/>
          <w:rFonts w:ascii="Verdana" w:hAnsi="Verdana"/>
          <w:color w:val="000000"/>
          <w:sz w:val="21"/>
          <w:szCs w:val="21"/>
        </w:rPr>
        <w:t>Language and Cognition</w:t>
      </w:r>
      <w:r>
        <w:rPr>
          <w:rFonts w:ascii="Verdana" w:hAnsi="Verdana"/>
          <w:color w:val="000000"/>
          <w:sz w:val="21"/>
          <w:szCs w:val="21"/>
        </w:rPr>
        <w:t>, </w:t>
      </w:r>
      <w:r>
        <w:rPr>
          <w:rStyle w:val="Emphasis"/>
          <w:rFonts w:ascii="Verdana" w:hAnsi="Verdana"/>
          <w:color w:val="000000"/>
          <w:sz w:val="21"/>
          <w:szCs w:val="21"/>
        </w:rPr>
        <w:t>6</w:t>
      </w:r>
      <w:r>
        <w:rPr>
          <w:rFonts w:ascii="Verdana" w:hAnsi="Verdana"/>
          <w:color w:val="000000"/>
          <w:sz w:val="21"/>
          <w:szCs w:val="21"/>
        </w:rPr>
        <w:t>, 12–44.</w:t>
      </w:r>
    </w:p>
    <w:p w:rsidR="006D35C5" w:rsidRDefault="006D35C5" w:rsidP="006D35C5">
      <w:pPr>
        <w:pStyle w:val="Heading3"/>
        <w:rPr>
          <w:rFonts w:ascii="Verdana" w:hAnsi="Verdana"/>
          <w:color w:val="000000"/>
          <w:sz w:val="26"/>
          <w:szCs w:val="26"/>
        </w:rPr>
      </w:pPr>
      <w:r>
        <w:rPr>
          <w:rFonts w:ascii="Verdana" w:hAnsi="Verdana"/>
          <w:color w:val="000000"/>
          <w:sz w:val="26"/>
          <w:szCs w:val="26"/>
        </w:rPr>
        <w:t>Language production and aging</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Older adults show more disfluencies in speech and are more likely to fall prey to TOT states than younger </w:t>
      </w:r>
      <w:proofErr w:type="gramStart"/>
      <w:r>
        <w:rPr>
          <w:rStyle w:val="Emphasis"/>
          <w:rFonts w:ascii="Verdana" w:hAnsi="Verdana"/>
          <w:color w:val="000000"/>
          <w:sz w:val="21"/>
          <w:szCs w:val="21"/>
        </w:rPr>
        <w:t>adults</w:t>
      </w:r>
      <w:proofErr w:type="gramEnd"/>
      <w:r>
        <w:rPr>
          <w:rStyle w:val="Emphasis"/>
          <w:rFonts w:ascii="Verdana" w:hAnsi="Verdana"/>
          <w:color w:val="000000"/>
          <w:sz w:val="21"/>
          <w:szCs w:val="21"/>
        </w:rPr>
        <w:t>. This review article surveys some of the research probing the nature of age-related changes in language production:</w:t>
      </w:r>
    </w:p>
    <w:p w:rsidR="006D35C5" w:rsidRDefault="006D35C5" w:rsidP="006D35C5">
      <w:pPr>
        <w:pStyle w:val="NormalWeb"/>
        <w:rPr>
          <w:rFonts w:ascii="Verdana" w:hAnsi="Verdana"/>
          <w:color w:val="000000"/>
          <w:sz w:val="21"/>
          <w:szCs w:val="21"/>
        </w:rPr>
      </w:pPr>
      <w:r>
        <w:rPr>
          <w:rFonts w:ascii="Verdana" w:hAnsi="Verdana"/>
          <w:color w:val="000000"/>
          <w:sz w:val="21"/>
          <w:szCs w:val="21"/>
        </w:rPr>
        <w:t>Mortensen, L., Meyer, A. S., &amp; Humphreys, G. W. (2006) Age-related effects on speech production: A review. </w:t>
      </w:r>
      <w:r>
        <w:rPr>
          <w:rStyle w:val="Emphasis"/>
          <w:rFonts w:ascii="Verdana" w:hAnsi="Verdana"/>
          <w:color w:val="000000"/>
          <w:sz w:val="21"/>
          <w:szCs w:val="21"/>
        </w:rPr>
        <w:t>Language and Cognitive Processes</w:t>
      </w:r>
      <w:r>
        <w:rPr>
          <w:rFonts w:ascii="Verdana" w:hAnsi="Verdana"/>
          <w:color w:val="000000"/>
          <w:sz w:val="21"/>
          <w:szCs w:val="21"/>
        </w:rPr>
        <w:t>, </w:t>
      </w:r>
      <w:r>
        <w:rPr>
          <w:rStyle w:val="Emphasis"/>
          <w:rFonts w:ascii="Verdana" w:hAnsi="Verdana"/>
          <w:color w:val="000000"/>
          <w:sz w:val="21"/>
          <w:szCs w:val="21"/>
        </w:rPr>
        <w:t>21</w:t>
      </w:r>
      <w:r>
        <w:rPr>
          <w:rFonts w:ascii="Verdana" w:hAnsi="Verdana"/>
          <w:color w:val="000000"/>
          <w:sz w:val="21"/>
          <w:szCs w:val="21"/>
        </w:rPr>
        <w:t>, 238–290.</w:t>
      </w:r>
    </w:p>
    <w:p w:rsidR="006D35C5" w:rsidRDefault="006D35C5" w:rsidP="006D35C5">
      <w:pPr>
        <w:pStyle w:val="Heading3"/>
        <w:rPr>
          <w:rFonts w:ascii="Verdana" w:hAnsi="Verdana"/>
          <w:color w:val="000000"/>
          <w:sz w:val="26"/>
          <w:szCs w:val="26"/>
        </w:rPr>
      </w:pPr>
      <w:r>
        <w:rPr>
          <w:rFonts w:ascii="Verdana" w:hAnsi="Verdana"/>
          <w:color w:val="000000"/>
          <w:sz w:val="26"/>
          <w:szCs w:val="26"/>
        </w:rPr>
        <w:t>Communicative constraints on language production</w:t>
      </w:r>
    </w:p>
    <w:p w:rsidR="006D35C5" w:rsidRDefault="006D35C5" w:rsidP="006D35C5">
      <w:pPr>
        <w:pStyle w:val="NormalWeb"/>
        <w:spacing w:before="0" w:beforeAutospacing="0"/>
        <w:rPr>
          <w:rFonts w:ascii="Verdana" w:hAnsi="Verdana"/>
          <w:color w:val="000000"/>
          <w:sz w:val="21"/>
          <w:szCs w:val="21"/>
        </w:rPr>
      </w:pPr>
      <w:r>
        <w:rPr>
          <w:rStyle w:val="Emphasis"/>
          <w:rFonts w:ascii="Verdana" w:hAnsi="Verdana"/>
          <w:color w:val="000000"/>
          <w:sz w:val="21"/>
          <w:szCs w:val="21"/>
        </w:rPr>
        <w:t xml:space="preserve">Much of the research on language production has emphasized factors that help to reduce the processing burden on speakers. The author of this essay argues that language production needs to be more thoroughly studied from a communicative </w:t>
      </w:r>
      <w:r>
        <w:rPr>
          <w:rStyle w:val="Emphasis"/>
          <w:rFonts w:ascii="Verdana" w:hAnsi="Verdana"/>
          <w:color w:val="000000"/>
          <w:sz w:val="21"/>
          <w:szCs w:val="21"/>
        </w:rPr>
        <w:lastRenderedPageBreak/>
        <w:t xml:space="preserve">perspective and suggests that many choices that speakers make </w:t>
      </w:r>
      <w:proofErr w:type="gramStart"/>
      <w:r>
        <w:rPr>
          <w:rStyle w:val="Emphasis"/>
          <w:rFonts w:ascii="Verdana" w:hAnsi="Verdana"/>
          <w:color w:val="000000"/>
          <w:sz w:val="21"/>
          <w:szCs w:val="21"/>
        </w:rPr>
        <w:t>are driven</w:t>
      </w:r>
      <w:proofErr w:type="gramEnd"/>
      <w:r>
        <w:rPr>
          <w:rStyle w:val="Emphasis"/>
          <w:rFonts w:ascii="Verdana" w:hAnsi="Verdana"/>
          <w:color w:val="000000"/>
          <w:sz w:val="21"/>
          <w:szCs w:val="21"/>
        </w:rPr>
        <w:t xml:space="preserve"> by factors that achieve maximum communicative efficiency:</w:t>
      </w:r>
    </w:p>
    <w:p w:rsidR="006D35C5" w:rsidRDefault="006D35C5" w:rsidP="006D35C5">
      <w:pPr>
        <w:pStyle w:val="NormalWeb"/>
        <w:rPr>
          <w:rFonts w:ascii="Verdana" w:hAnsi="Verdana"/>
          <w:color w:val="000000"/>
          <w:sz w:val="21"/>
          <w:szCs w:val="21"/>
        </w:rPr>
      </w:pPr>
      <w:r>
        <w:rPr>
          <w:rFonts w:ascii="Verdana" w:hAnsi="Verdana"/>
          <w:color w:val="000000"/>
          <w:sz w:val="21"/>
          <w:szCs w:val="21"/>
        </w:rPr>
        <w:t xml:space="preserve">Jaeger, T. F. (2013) Production preferences </w:t>
      </w:r>
      <w:proofErr w:type="gramStart"/>
      <w:r>
        <w:rPr>
          <w:rFonts w:ascii="Verdana" w:hAnsi="Verdana"/>
          <w:color w:val="000000"/>
          <w:sz w:val="21"/>
          <w:szCs w:val="21"/>
        </w:rPr>
        <w:t>cannot be understood</w:t>
      </w:r>
      <w:proofErr w:type="gramEnd"/>
      <w:r>
        <w:rPr>
          <w:rFonts w:ascii="Verdana" w:hAnsi="Verdana"/>
          <w:color w:val="000000"/>
          <w:sz w:val="21"/>
          <w:szCs w:val="21"/>
        </w:rPr>
        <w:t xml:space="preserve"> without reference to communication. </w:t>
      </w:r>
      <w:r>
        <w:rPr>
          <w:rStyle w:val="Emphasis"/>
          <w:rFonts w:ascii="Verdana" w:hAnsi="Verdana"/>
          <w:color w:val="000000"/>
          <w:sz w:val="21"/>
          <w:szCs w:val="21"/>
        </w:rPr>
        <w:t>Frontiers in psychology</w:t>
      </w:r>
      <w:r>
        <w:rPr>
          <w:rFonts w:ascii="Verdana" w:hAnsi="Verdana"/>
          <w:color w:val="000000"/>
          <w:sz w:val="21"/>
          <w:szCs w:val="21"/>
        </w:rPr>
        <w:t>, </w:t>
      </w:r>
      <w:r>
        <w:rPr>
          <w:rStyle w:val="Emphasis"/>
          <w:rFonts w:ascii="Verdana" w:hAnsi="Verdana"/>
          <w:color w:val="000000"/>
          <w:sz w:val="21"/>
          <w:szCs w:val="21"/>
        </w:rPr>
        <w:t>4, 230.</w:t>
      </w:r>
    </w:p>
    <w:p w:rsidR="00762A28" w:rsidRDefault="00762A28" w:rsidP="00762A28">
      <w:pPr>
        <w:pStyle w:val="NormalWeb"/>
        <w:rPr>
          <w:rFonts w:ascii="Verdana" w:hAnsi="Verdana"/>
          <w:color w:val="000000"/>
          <w:sz w:val="21"/>
          <w:szCs w:val="21"/>
        </w:rPr>
      </w:pPr>
    </w:p>
    <w:p w:rsidR="00BC4CB2" w:rsidRDefault="00BC4CB2">
      <w:r>
        <w:rPr>
          <w:rFonts w:cstheme="minorHAnsi"/>
        </w:rPr>
        <w:t xml:space="preserve">© 2019 </w:t>
      </w:r>
      <w:r>
        <w:t xml:space="preserve">Oxford University Press </w:t>
      </w:r>
      <w:bookmarkStart w:id="0" w:name="_GoBack"/>
      <w:bookmarkEnd w:id="0"/>
    </w:p>
    <w:p w:rsidR="00F04E28" w:rsidRDefault="00F04E28"/>
    <w:sectPr w:rsidR="00F04E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215D"/>
    <w:rsid w:val="00243D79"/>
    <w:rsid w:val="00294AB8"/>
    <w:rsid w:val="00321CB2"/>
    <w:rsid w:val="004717CD"/>
    <w:rsid w:val="005B6801"/>
    <w:rsid w:val="00611621"/>
    <w:rsid w:val="006467EA"/>
    <w:rsid w:val="006B7046"/>
    <w:rsid w:val="006D35C5"/>
    <w:rsid w:val="00762A28"/>
    <w:rsid w:val="00833027"/>
    <w:rsid w:val="00A44ECF"/>
    <w:rsid w:val="00BB1BB1"/>
    <w:rsid w:val="00BC4CB2"/>
    <w:rsid w:val="00BE7529"/>
    <w:rsid w:val="00BF1EFD"/>
    <w:rsid w:val="00D7215D"/>
    <w:rsid w:val="00F04E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47194"/>
  <w15:chartTrackingRefBased/>
  <w15:docId w15:val="{39646935-A410-4FD1-9D6A-EF5C9EEC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7215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D7215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215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D7215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721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7215D"/>
    <w:rPr>
      <w:i/>
      <w:iCs/>
    </w:rPr>
  </w:style>
  <w:style w:type="character" w:styleId="Hyperlink">
    <w:name w:val="Hyperlink"/>
    <w:basedOn w:val="DefaultParagraphFont"/>
    <w:uiPriority w:val="99"/>
    <w:unhideWhenUsed/>
    <w:rsid w:val="00D7215D"/>
    <w:rPr>
      <w:color w:val="0000FF"/>
      <w:u w:val="single"/>
    </w:rPr>
  </w:style>
  <w:style w:type="character" w:styleId="Strong">
    <w:name w:val="Strong"/>
    <w:basedOn w:val="DefaultParagraphFont"/>
    <w:uiPriority w:val="22"/>
    <w:qFormat/>
    <w:rsid w:val="006116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424478">
      <w:bodyDiv w:val="1"/>
      <w:marLeft w:val="0"/>
      <w:marRight w:val="0"/>
      <w:marTop w:val="0"/>
      <w:marBottom w:val="0"/>
      <w:divBdr>
        <w:top w:val="none" w:sz="0" w:space="0" w:color="auto"/>
        <w:left w:val="none" w:sz="0" w:space="0" w:color="auto"/>
        <w:bottom w:val="none" w:sz="0" w:space="0" w:color="auto"/>
        <w:right w:val="none" w:sz="0" w:space="0" w:color="auto"/>
      </w:divBdr>
    </w:div>
    <w:div w:id="95293543">
      <w:bodyDiv w:val="1"/>
      <w:marLeft w:val="0"/>
      <w:marRight w:val="0"/>
      <w:marTop w:val="0"/>
      <w:marBottom w:val="0"/>
      <w:divBdr>
        <w:top w:val="none" w:sz="0" w:space="0" w:color="auto"/>
        <w:left w:val="none" w:sz="0" w:space="0" w:color="auto"/>
        <w:bottom w:val="none" w:sz="0" w:space="0" w:color="auto"/>
        <w:right w:val="none" w:sz="0" w:space="0" w:color="auto"/>
      </w:divBdr>
    </w:div>
    <w:div w:id="668873117">
      <w:bodyDiv w:val="1"/>
      <w:marLeft w:val="0"/>
      <w:marRight w:val="0"/>
      <w:marTop w:val="0"/>
      <w:marBottom w:val="0"/>
      <w:divBdr>
        <w:top w:val="none" w:sz="0" w:space="0" w:color="auto"/>
        <w:left w:val="none" w:sz="0" w:space="0" w:color="auto"/>
        <w:bottom w:val="none" w:sz="0" w:space="0" w:color="auto"/>
        <w:right w:val="none" w:sz="0" w:space="0" w:color="auto"/>
      </w:divBdr>
    </w:div>
    <w:div w:id="714238698">
      <w:bodyDiv w:val="1"/>
      <w:marLeft w:val="0"/>
      <w:marRight w:val="0"/>
      <w:marTop w:val="0"/>
      <w:marBottom w:val="0"/>
      <w:divBdr>
        <w:top w:val="none" w:sz="0" w:space="0" w:color="auto"/>
        <w:left w:val="none" w:sz="0" w:space="0" w:color="auto"/>
        <w:bottom w:val="none" w:sz="0" w:space="0" w:color="auto"/>
        <w:right w:val="none" w:sz="0" w:space="0" w:color="auto"/>
      </w:divBdr>
    </w:div>
    <w:div w:id="870412310">
      <w:bodyDiv w:val="1"/>
      <w:marLeft w:val="0"/>
      <w:marRight w:val="0"/>
      <w:marTop w:val="0"/>
      <w:marBottom w:val="0"/>
      <w:divBdr>
        <w:top w:val="none" w:sz="0" w:space="0" w:color="auto"/>
        <w:left w:val="none" w:sz="0" w:space="0" w:color="auto"/>
        <w:bottom w:val="none" w:sz="0" w:space="0" w:color="auto"/>
        <w:right w:val="none" w:sz="0" w:space="0" w:color="auto"/>
      </w:divBdr>
    </w:div>
    <w:div w:id="1218780765">
      <w:bodyDiv w:val="1"/>
      <w:marLeft w:val="0"/>
      <w:marRight w:val="0"/>
      <w:marTop w:val="0"/>
      <w:marBottom w:val="0"/>
      <w:divBdr>
        <w:top w:val="none" w:sz="0" w:space="0" w:color="auto"/>
        <w:left w:val="none" w:sz="0" w:space="0" w:color="auto"/>
        <w:bottom w:val="none" w:sz="0" w:space="0" w:color="auto"/>
        <w:right w:val="none" w:sz="0" w:space="0" w:color="auto"/>
      </w:divBdr>
    </w:div>
    <w:div w:id="1291210133">
      <w:bodyDiv w:val="1"/>
      <w:marLeft w:val="0"/>
      <w:marRight w:val="0"/>
      <w:marTop w:val="0"/>
      <w:marBottom w:val="0"/>
      <w:divBdr>
        <w:top w:val="none" w:sz="0" w:space="0" w:color="auto"/>
        <w:left w:val="none" w:sz="0" w:space="0" w:color="auto"/>
        <w:bottom w:val="none" w:sz="0" w:space="0" w:color="auto"/>
        <w:right w:val="none" w:sz="0" w:space="0" w:color="auto"/>
      </w:divBdr>
    </w:div>
    <w:div w:id="1908027275">
      <w:bodyDiv w:val="1"/>
      <w:marLeft w:val="0"/>
      <w:marRight w:val="0"/>
      <w:marTop w:val="0"/>
      <w:marBottom w:val="0"/>
      <w:divBdr>
        <w:top w:val="none" w:sz="0" w:space="0" w:color="auto"/>
        <w:left w:val="none" w:sz="0" w:space="0" w:color="auto"/>
        <w:bottom w:val="none" w:sz="0" w:space="0" w:color="auto"/>
        <w:right w:val="none" w:sz="0" w:space="0" w:color="auto"/>
      </w:divBdr>
    </w:div>
    <w:div w:id="2004818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Lacey</dc:creator>
  <cp:keywords/>
  <dc:description/>
  <cp:lastModifiedBy>Peter Lacey</cp:lastModifiedBy>
  <cp:revision>26</cp:revision>
  <dcterms:created xsi:type="dcterms:W3CDTF">2018-11-27T20:01:00Z</dcterms:created>
  <dcterms:modified xsi:type="dcterms:W3CDTF">2019-04-09T15:21:00Z</dcterms:modified>
</cp:coreProperties>
</file>