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621" w:rsidRDefault="00611621" w:rsidP="00611621">
      <w:pPr>
        <w:pStyle w:val="Heading1"/>
        <w:pBdr>
          <w:bottom w:val="single" w:sz="6" w:space="2" w:color="DFE6EB"/>
        </w:pBdr>
        <w:spacing w:before="0" w:beforeAutospacing="0" w:after="0" w:afterAutospacing="0"/>
        <w:rPr>
          <w:rFonts w:ascii="Verdana" w:hAnsi="Verdana"/>
          <w:color w:val="000000"/>
          <w:sz w:val="37"/>
          <w:szCs w:val="37"/>
        </w:rPr>
      </w:pPr>
      <w:r>
        <w:rPr>
          <w:rFonts w:ascii="Verdana" w:hAnsi="Verdana"/>
          <w:color w:val="000000"/>
          <w:sz w:val="37"/>
          <w:szCs w:val="37"/>
        </w:rPr>
        <w:t xml:space="preserve">Chapter </w:t>
      </w:r>
      <w:r w:rsidR="00294AB8">
        <w:rPr>
          <w:rFonts w:ascii="Verdana" w:hAnsi="Verdana"/>
          <w:color w:val="000000"/>
          <w:sz w:val="37"/>
          <w:szCs w:val="37"/>
        </w:rPr>
        <w:t>6</w:t>
      </w:r>
      <w:r>
        <w:rPr>
          <w:rFonts w:ascii="Verdana" w:hAnsi="Verdana"/>
          <w:color w:val="000000"/>
          <w:sz w:val="37"/>
          <w:szCs w:val="37"/>
        </w:rPr>
        <w:t xml:space="preserve"> </w:t>
      </w:r>
      <w:r w:rsidR="006467EA">
        <w:rPr>
          <w:rFonts w:ascii="Verdana" w:hAnsi="Verdana"/>
          <w:color w:val="000000"/>
          <w:sz w:val="37"/>
          <w:szCs w:val="37"/>
        </w:rPr>
        <w:t>Further Readings</w:t>
      </w:r>
    </w:p>
    <w:p w:rsidR="006467EA" w:rsidRDefault="006467EA" w:rsidP="006467EA">
      <w:pPr>
        <w:pStyle w:val="NormalWeb"/>
        <w:rPr>
          <w:rFonts w:ascii="Verdana" w:hAnsi="Verdana"/>
          <w:color w:val="000000"/>
          <w:sz w:val="21"/>
          <w:szCs w:val="21"/>
        </w:rPr>
      </w:pPr>
      <w:r>
        <w:rPr>
          <w:rStyle w:val="Emphasis"/>
          <w:rFonts w:ascii="Verdana" w:hAnsi="Verdana"/>
          <w:color w:val="000000"/>
          <w:sz w:val="21"/>
          <w:szCs w:val="21"/>
        </w:rPr>
        <w:t xml:space="preserve">(Note: This bibliography </w:t>
      </w:r>
      <w:proofErr w:type="gramStart"/>
      <w:r>
        <w:rPr>
          <w:rStyle w:val="Emphasis"/>
          <w:rFonts w:ascii="Verdana" w:hAnsi="Verdana"/>
          <w:color w:val="000000"/>
          <w:sz w:val="21"/>
          <w:szCs w:val="21"/>
        </w:rPr>
        <w:t>will be updated</w:t>
      </w:r>
      <w:proofErr w:type="gramEnd"/>
      <w:r>
        <w:rPr>
          <w:rStyle w:val="Emphasis"/>
          <w:rFonts w:ascii="Verdana" w:hAnsi="Verdana"/>
          <w:color w:val="000000"/>
          <w:sz w:val="21"/>
          <w:szCs w:val="21"/>
        </w:rPr>
        <w:t xml:space="preserve"> regularly.)</w:t>
      </w:r>
    </w:p>
    <w:p w:rsidR="00294AB8" w:rsidRDefault="00294AB8" w:rsidP="00294AB8">
      <w:pPr>
        <w:pStyle w:val="Heading3"/>
        <w:rPr>
          <w:rFonts w:ascii="Verdana" w:hAnsi="Verdana"/>
          <w:color w:val="000000"/>
          <w:sz w:val="26"/>
          <w:szCs w:val="26"/>
        </w:rPr>
      </w:pPr>
      <w:r>
        <w:rPr>
          <w:rFonts w:ascii="Verdana" w:hAnsi="Verdana"/>
          <w:color w:val="000000"/>
          <w:sz w:val="26"/>
          <w:szCs w:val="26"/>
        </w:rPr>
        <w:t>Infant-directed speech</w:t>
      </w:r>
    </w:p>
    <w:p w:rsidR="00294AB8" w:rsidRDefault="00294AB8" w:rsidP="00294AB8">
      <w:pPr>
        <w:pStyle w:val="NormalWeb"/>
        <w:spacing w:before="0" w:beforeAutospacing="0"/>
        <w:rPr>
          <w:rFonts w:ascii="Verdana" w:hAnsi="Verdana"/>
          <w:color w:val="000000"/>
          <w:sz w:val="21"/>
          <w:szCs w:val="21"/>
        </w:rPr>
      </w:pPr>
      <w:r>
        <w:rPr>
          <w:rStyle w:val="Emphasis"/>
          <w:rFonts w:ascii="Verdana" w:hAnsi="Verdana"/>
          <w:color w:val="000000"/>
          <w:sz w:val="21"/>
          <w:szCs w:val="21"/>
        </w:rPr>
        <w:t xml:space="preserve">To what extent do adults adapt their spoken language through “baby talk” to meet the needs of infant language learners? </w:t>
      </w:r>
      <w:proofErr w:type="gramStart"/>
      <w:r>
        <w:rPr>
          <w:rStyle w:val="Emphasis"/>
          <w:rFonts w:ascii="Verdana" w:hAnsi="Verdana"/>
          <w:color w:val="000000"/>
          <w:sz w:val="21"/>
          <w:szCs w:val="21"/>
        </w:rPr>
        <w:t>And</w:t>
      </w:r>
      <w:proofErr w:type="gramEnd"/>
      <w:r>
        <w:rPr>
          <w:rStyle w:val="Emphasis"/>
          <w:rFonts w:ascii="Verdana" w:hAnsi="Verdana"/>
          <w:color w:val="000000"/>
          <w:sz w:val="21"/>
          <w:szCs w:val="21"/>
        </w:rPr>
        <w:t xml:space="preserve"> to what extent does this altered input actually help children to learn language? The following paper provides a good starting-point for exploring these questions:</w:t>
      </w:r>
    </w:p>
    <w:p w:rsidR="00294AB8" w:rsidRDefault="00294AB8" w:rsidP="00294AB8">
      <w:pPr>
        <w:pStyle w:val="NormalWeb"/>
        <w:rPr>
          <w:rFonts w:ascii="Verdana" w:hAnsi="Verdana"/>
          <w:color w:val="000000"/>
          <w:sz w:val="21"/>
          <w:szCs w:val="21"/>
        </w:rPr>
      </w:pPr>
      <w:proofErr w:type="spellStart"/>
      <w:r>
        <w:rPr>
          <w:rFonts w:ascii="Verdana" w:hAnsi="Verdana"/>
          <w:color w:val="000000"/>
          <w:sz w:val="21"/>
          <w:szCs w:val="21"/>
        </w:rPr>
        <w:t>Soderstrom</w:t>
      </w:r>
      <w:proofErr w:type="spellEnd"/>
      <w:r>
        <w:rPr>
          <w:rFonts w:ascii="Verdana" w:hAnsi="Verdana"/>
          <w:color w:val="000000"/>
          <w:sz w:val="21"/>
          <w:szCs w:val="21"/>
        </w:rPr>
        <w:t xml:space="preserve">, M. (2007) Beyond </w:t>
      </w:r>
      <w:proofErr w:type="spellStart"/>
      <w:r>
        <w:rPr>
          <w:rFonts w:ascii="Verdana" w:hAnsi="Verdana"/>
          <w:color w:val="000000"/>
          <w:sz w:val="21"/>
          <w:szCs w:val="21"/>
        </w:rPr>
        <w:t>babytalk</w:t>
      </w:r>
      <w:proofErr w:type="spellEnd"/>
      <w:r>
        <w:rPr>
          <w:rFonts w:ascii="Verdana" w:hAnsi="Verdana"/>
          <w:color w:val="000000"/>
          <w:sz w:val="21"/>
          <w:szCs w:val="21"/>
        </w:rPr>
        <w:t>: Re-evaluating the nature and content of speech input to preverbal infants. </w:t>
      </w:r>
      <w:r>
        <w:rPr>
          <w:rStyle w:val="Emphasis"/>
          <w:rFonts w:ascii="Verdana" w:hAnsi="Verdana"/>
          <w:color w:val="000000"/>
          <w:sz w:val="21"/>
          <w:szCs w:val="21"/>
        </w:rPr>
        <w:t>Developmental Review, 27</w:t>
      </w:r>
      <w:r>
        <w:rPr>
          <w:rFonts w:ascii="Verdana" w:hAnsi="Verdana"/>
          <w:color w:val="000000"/>
          <w:sz w:val="21"/>
          <w:szCs w:val="21"/>
        </w:rPr>
        <w:t>, 501–532.</w:t>
      </w:r>
    </w:p>
    <w:p w:rsidR="00294AB8" w:rsidRDefault="00294AB8" w:rsidP="00294AB8">
      <w:pPr>
        <w:pStyle w:val="Heading3"/>
        <w:rPr>
          <w:rFonts w:ascii="Verdana" w:hAnsi="Verdana"/>
          <w:color w:val="000000"/>
          <w:sz w:val="26"/>
          <w:szCs w:val="26"/>
        </w:rPr>
      </w:pPr>
      <w:r>
        <w:rPr>
          <w:rFonts w:ascii="Verdana" w:hAnsi="Verdana"/>
          <w:color w:val="000000"/>
          <w:sz w:val="26"/>
          <w:szCs w:val="26"/>
        </w:rPr>
        <w:t>Sound-based cues can provide information about syntactic categories</w:t>
      </w:r>
    </w:p>
    <w:p w:rsidR="00294AB8" w:rsidRDefault="00294AB8" w:rsidP="00294AB8">
      <w:pPr>
        <w:pStyle w:val="NormalWeb"/>
        <w:spacing w:before="0" w:beforeAutospacing="0"/>
        <w:rPr>
          <w:rFonts w:ascii="Verdana" w:hAnsi="Verdana"/>
          <w:color w:val="000000"/>
          <w:sz w:val="21"/>
          <w:szCs w:val="21"/>
        </w:rPr>
      </w:pPr>
      <w:r>
        <w:rPr>
          <w:rStyle w:val="Emphasis"/>
          <w:rFonts w:ascii="Verdana" w:hAnsi="Verdana"/>
          <w:color w:val="000000"/>
          <w:sz w:val="21"/>
          <w:szCs w:val="21"/>
        </w:rPr>
        <w:t>In Chapter 6, we talked about how children might use semantic and distributional cues to sort words into different syntactic categories. In addition, words from different syntactic categories often show different sound patterns, providing another potentially valuable source of information. Can children leverage sound-based cues in learning about new words and their syntactic categories? The following paper addresses this question:</w:t>
      </w:r>
    </w:p>
    <w:p w:rsidR="00294AB8" w:rsidRDefault="00294AB8" w:rsidP="00294AB8">
      <w:pPr>
        <w:pStyle w:val="NormalWeb"/>
        <w:rPr>
          <w:rFonts w:ascii="Verdana" w:hAnsi="Verdana"/>
          <w:color w:val="000000"/>
          <w:sz w:val="21"/>
          <w:szCs w:val="21"/>
        </w:rPr>
      </w:pPr>
      <w:proofErr w:type="spellStart"/>
      <w:r>
        <w:rPr>
          <w:rFonts w:ascii="Verdana" w:hAnsi="Verdana"/>
          <w:color w:val="000000"/>
          <w:sz w:val="21"/>
          <w:szCs w:val="21"/>
        </w:rPr>
        <w:t>Fitneva</w:t>
      </w:r>
      <w:proofErr w:type="spellEnd"/>
      <w:r>
        <w:rPr>
          <w:rFonts w:ascii="Verdana" w:hAnsi="Verdana"/>
          <w:color w:val="000000"/>
          <w:sz w:val="21"/>
          <w:szCs w:val="21"/>
        </w:rPr>
        <w:t xml:space="preserve">, S. A., Christiansen, M. H., &amp; Monaghan, P. (2009) </w:t>
      </w:r>
      <w:proofErr w:type="gramStart"/>
      <w:r>
        <w:rPr>
          <w:rFonts w:ascii="Verdana" w:hAnsi="Verdana"/>
          <w:color w:val="000000"/>
          <w:sz w:val="21"/>
          <w:szCs w:val="21"/>
        </w:rPr>
        <w:t>From</w:t>
      </w:r>
      <w:proofErr w:type="gramEnd"/>
      <w:r>
        <w:rPr>
          <w:rFonts w:ascii="Verdana" w:hAnsi="Verdana"/>
          <w:color w:val="000000"/>
          <w:sz w:val="21"/>
          <w:szCs w:val="21"/>
        </w:rPr>
        <w:t xml:space="preserve"> sound to syntax: phonological constraints on children’s lexical categorization of new words. </w:t>
      </w:r>
      <w:r>
        <w:rPr>
          <w:rStyle w:val="Emphasis"/>
          <w:rFonts w:ascii="Verdana" w:hAnsi="Verdana"/>
          <w:color w:val="000000"/>
          <w:sz w:val="21"/>
          <w:szCs w:val="21"/>
        </w:rPr>
        <w:t>Journal of Child Language, 36</w:t>
      </w:r>
      <w:r>
        <w:rPr>
          <w:rFonts w:ascii="Verdana" w:hAnsi="Verdana"/>
          <w:color w:val="000000"/>
          <w:sz w:val="21"/>
          <w:szCs w:val="21"/>
        </w:rPr>
        <w:t>, 967–997.</w:t>
      </w:r>
    </w:p>
    <w:p w:rsidR="00294AB8" w:rsidRDefault="00294AB8" w:rsidP="00294AB8">
      <w:pPr>
        <w:pStyle w:val="Heading3"/>
        <w:rPr>
          <w:rFonts w:ascii="Verdana" w:hAnsi="Verdana"/>
          <w:color w:val="000000"/>
          <w:sz w:val="26"/>
          <w:szCs w:val="26"/>
        </w:rPr>
      </w:pPr>
      <w:r>
        <w:rPr>
          <w:rFonts w:ascii="Verdana" w:hAnsi="Verdana"/>
          <w:color w:val="000000"/>
          <w:sz w:val="26"/>
          <w:szCs w:val="26"/>
        </w:rPr>
        <w:t>Using artificial languages to study language acquisition</w:t>
      </w:r>
    </w:p>
    <w:p w:rsidR="00294AB8" w:rsidRDefault="00294AB8" w:rsidP="00294AB8">
      <w:pPr>
        <w:pStyle w:val="NormalWeb"/>
        <w:spacing w:before="0" w:beforeAutospacing="0"/>
        <w:rPr>
          <w:rFonts w:ascii="Verdana" w:hAnsi="Verdana"/>
          <w:color w:val="000000"/>
          <w:sz w:val="21"/>
          <w:szCs w:val="21"/>
        </w:rPr>
      </w:pPr>
      <w:r>
        <w:rPr>
          <w:rStyle w:val="Emphasis"/>
          <w:rFonts w:ascii="Verdana" w:hAnsi="Verdana"/>
          <w:color w:val="000000"/>
          <w:sz w:val="21"/>
          <w:szCs w:val="21"/>
        </w:rPr>
        <w:t>This review chapter provides a useful framework and introduction to research that uses artificial languages to grapple with big questions about the acquisition of linguistic structure. Since its publication, many new and informative articles have appeared, validating the usefulness of this general approach:</w:t>
      </w:r>
    </w:p>
    <w:p w:rsidR="00294AB8" w:rsidRDefault="00294AB8" w:rsidP="00294AB8">
      <w:pPr>
        <w:pStyle w:val="NormalWeb"/>
        <w:rPr>
          <w:rFonts w:ascii="Verdana" w:hAnsi="Verdana"/>
          <w:color w:val="000000"/>
          <w:sz w:val="21"/>
          <w:szCs w:val="21"/>
        </w:rPr>
      </w:pPr>
      <w:r>
        <w:rPr>
          <w:rFonts w:ascii="Verdana" w:hAnsi="Verdana"/>
          <w:color w:val="000000"/>
          <w:sz w:val="21"/>
          <w:szCs w:val="21"/>
        </w:rPr>
        <w:t xml:space="preserve">Gomez, R. L., &amp; </w:t>
      </w:r>
      <w:proofErr w:type="spellStart"/>
      <w:r>
        <w:rPr>
          <w:rFonts w:ascii="Verdana" w:hAnsi="Verdana"/>
          <w:color w:val="000000"/>
          <w:sz w:val="21"/>
          <w:szCs w:val="21"/>
        </w:rPr>
        <w:t>Gerken</w:t>
      </w:r>
      <w:proofErr w:type="spellEnd"/>
      <w:r>
        <w:rPr>
          <w:rFonts w:ascii="Verdana" w:hAnsi="Verdana"/>
          <w:color w:val="000000"/>
          <w:sz w:val="21"/>
          <w:szCs w:val="21"/>
        </w:rPr>
        <w:t>, L. A. (2000) Infant artificial language learning and language acquisition. </w:t>
      </w:r>
      <w:r>
        <w:rPr>
          <w:rStyle w:val="Emphasis"/>
          <w:rFonts w:ascii="Verdana" w:hAnsi="Verdana"/>
          <w:color w:val="000000"/>
          <w:sz w:val="21"/>
          <w:szCs w:val="21"/>
        </w:rPr>
        <w:t>Trends in Cognitive Sciences, 4</w:t>
      </w:r>
      <w:r>
        <w:rPr>
          <w:rFonts w:ascii="Verdana" w:hAnsi="Verdana"/>
          <w:color w:val="000000"/>
          <w:sz w:val="21"/>
          <w:szCs w:val="21"/>
        </w:rPr>
        <w:t>, 178–186.</w:t>
      </w:r>
    </w:p>
    <w:p w:rsidR="00294AB8" w:rsidRDefault="00294AB8" w:rsidP="00294AB8">
      <w:pPr>
        <w:pStyle w:val="Heading3"/>
        <w:rPr>
          <w:rFonts w:ascii="Verdana" w:hAnsi="Verdana"/>
          <w:color w:val="000000"/>
          <w:sz w:val="26"/>
          <w:szCs w:val="26"/>
        </w:rPr>
      </w:pPr>
      <w:r>
        <w:rPr>
          <w:rFonts w:ascii="Verdana" w:hAnsi="Verdana"/>
          <w:color w:val="000000"/>
          <w:sz w:val="26"/>
          <w:szCs w:val="26"/>
        </w:rPr>
        <w:t>Syntactic learning in non-human animals</w:t>
      </w:r>
    </w:p>
    <w:p w:rsidR="00294AB8" w:rsidRDefault="00294AB8" w:rsidP="00294AB8">
      <w:pPr>
        <w:pStyle w:val="NormalWeb"/>
        <w:spacing w:before="0" w:beforeAutospacing="0"/>
        <w:rPr>
          <w:rFonts w:ascii="Verdana" w:hAnsi="Verdana"/>
          <w:color w:val="000000"/>
          <w:sz w:val="21"/>
          <w:szCs w:val="21"/>
        </w:rPr>
      </w:pPr>
      <w:r>
        <w:rPr>
          <w:rStyle w:val="Emphasis"/>
          <w:rFonts w:ascii="Verdana" w:hAnsi="Verdana"/>
          <w:color w:val="000000"/>
          <w:sz w:val="21"/>
          <w:szCs w:val="21"/>
        </w:rPr>
        <w:t>What are the capabilities of other animals to learn the kinds of structured patterns that exist in human languages? This paper provides an overview:</w:t>
      </w:r>
    </w:p>
    <w:p w:rsidR="00294AB8" w:rsidRDefault="00294AB8" w:rsidP="00294AB8">
      <w:pPr>
        <w:pStyle w:val="NormalWeb"/>
        <w:rPr>
          <w:rFonts w:ascii="Verdana" w:hAnsi="Verdana"/>
          <w:color w:val="000000"/>
          <w:sz w:val="21"/>
          <w:szCs w:val="21"/>
        </w:rPr>
      </w:pPr>
      <w:proofErr w:type="gramStart"/>
      <w:r>
        <w:rPr>
          <w:rFonts w:ascii="Verdana" w:hAnsi="Verdana"/>
          <w:color w:val="000000"/>
          <w:sz w:val="21"/>
          <w:szCs w:val="21"/>
        </w:rPr>
        <w:t>ten</w:t>
      </w:r>
      <w:proofErr w:type="gramEnd"/>
      <w:r>
        <w:rPr>
          <w:rFonts w:ascii="Verdana" w:hAnsi="Verdana"/>
          <w:color w:val="000000"/>
          <w:sz w:val="21"/>
          <w:szCs w:val="21"/>
        </w:rPr>
        <w:t xml:space="preserve"> Cate, C., &amp; </w:t>
      </w:r>
      <w:proofErr w:type="spellStart"/>
      <w:r>
        <w:rPr>
          <w:rFonts w:ascii="Verdana" w:hAnsi="Verdana"/>
          <w:color w:val="000000"/>
          <w:sz w:val="21"/>
          <w:szCs w:val="21"/>
        </w:rPr>
        <w:t>Okanoya</w:t>
      </w:r>
      <w:proofErr w:type="spellEnd"/>
      <w:r>
        <w:rPr>
          <w:rFonts w:ascii="Verdana" w:hAnsi="Verdana"/>
          <w:color w:val="000000"/>
          <w:sz w:val="21"/>
          <w:szCs w:val="21"/>
        </w:rPr>
        <w:t>, K. (2012) Re-visiting the syntactic abilities of non-human languages: natural vocalizations and artificial grammar learning. </w:t>
      </w:r>
      <w:r>
        <w:rPr>
          <w:rStyle w:val="Emphasis"/>
          <w:rFonts w:ascii="Verdana" w:hAnsi="Verdana"/>
          <w:color w:val="000000"/>
          <w:sz w:val="21"/>
          <w:szCs w:val="21"/>
        </w:rPr>
        <w:t>Philosophical Transactions of the Royal Society B: Biological Sciences, 367</w:t>
      </w:r>
      <w:r>
        <w:rPr>
          <w:rFonts w:ascii="Verdana" w:hAnsi="Verdana"/>
          <w:color w:val="000000"/>
          <w:sz w:val="21"/>
          <w:szCs w:val="21"/>
        </w:rPr>
        <w:t>, 1984–1994.</w:t>
      </w:r>
    </w:p>
    <w:p w:rsidR="00294AB8" w:rsidRDefault="00294AB8" w:rsidP="00294AB8">
      <w:pPr>
        <w:pStyle w:val="Heading3"/>
        <w:rPr>
          <w:rFonts w:ascii="Verdana" w:hAnsi="Verdana"/>
          <w:color w:val="000000"/>
          <w:sz w:val="26"/>
          <w:szCs w:val="26"/>
        </w:rPr>
      </w:pPr>
      <w:r>
        <w:rPr>
          <w:rFonts w:ascii="Verdana" w:hAnsi="Verdana"/>
          <w:color w:val="000000"/>
          <w:sz w:val="26"/>
          <w:szCs w:val="26"/>
        </w:rPr>
        <w:lastRenderedPageBreak/>
        <w:t xml:space="preserve">Are some structures more learnable than </w:t>
      </w:r>
      <w:proofErr w:type="gramStart"/>
      <w:r>
        <w:rPr>
          <w:rFonts w:ascii="Verdana" w:hAnsi="Verdana"/>
          <w:color w:val="000000"/>
          <w:sz w:val="26"/>
          <w:szCs w:val="26"/>
        </w:rPr>
        <w:t>others</w:t>
      </w:r>
      <w:proofErr w:type="gramEnd"/>
      <w:r>
        <w:rPr>
          <w:rFonts w:ascii="Verdana" w:hAnsi="Verdana"/>
          <w:color w:val="000000"/>
          <w:sz w:val="26"/>
          <w:szCs w:val="26"/>
        </w:rPr>
        <w:t>?</w:t>
      </w:r>
    </w:p>
    <w:p w:rsidR="00294AB8" w:rsidRDefault="00294AB8" w:rsidP="00294AB8">
      <w:pPr>
        <w:pStyle w:val="NormalWeb"/>
        <w:spacing w:before="0" w:beforeAutospacing="0"/>
        <w:rPr>
          <w:rFonts w:ascii="Verdana" w:hAnsi="Verdana"/>
          <w:color w:val="000000"/>
          <w:sz w:val="21"/>
          <w:szCs w:val="21"/>
        </w:rPr>
      </w:pPr>
      <w:r>
        <w:rPr>
          <w:rStyle w:val="Emphasis"/>
          <w:rFonts w:ascii="Verdana" w:hAnsi="Verdana"/>
          <w:color w:val="000000"/>
          <w:sz w:val="21"/>
          <w:szCs w:val="21"/>
        </w:rPr>
        <w:t xml:space="preserve">Do children appear to be biased to learn some structures and patterns more readily than </w:t>
      </w:r>
      <w:proofErr w:type="gramStart"/>
      <w:r>
        <w:rPr>
          <w:rStyle w:val="Emphasis"/>
          <w:rFonts w:ascii="Verdana" w:hAnsi="Verdana"/>
          <w:color w:val="000000"/>
          <w:sz w:val="21"/>
          <w:szCs w:val="21"/>
        </w:rPr>
        <w:t>others</w:t>
      </w:r>
      <w:proofErr w:type="gramEnd"/>
      <w:r>
        <w:rPr>
          <w:rStyle w:val="Emphasis"/>
          <w:rFonts w:ascii="Verdana" w:hAnsi="Verdana"/>
          <w:color w:val="000000"/>
          <w:sz w:val="21"/>
          <w:szCs w:val="21"/>
        </w:rPr>
        <w:t xml:space="preserve">? </w:t>
      </w:r>
      <w:proofErr w:type="gramStart"/>
      <w:r>
        <w:rPr>
          <w:rStyle w:val="Emphasis"/>
          <w:rFonts w:ascii="Verdana" w:hAnsi="Verdana"/>
          <w:color w:val="000000"/>
          <w:sz w:val="21"/>
          <w:szCs w:val="21"/>
        </w:rPr>
        <w:t>And</w:t>
      </w:r>
      <w:proofErr w:type="gramEnd"/>
      <w:r>
        <w:rPr>
          <w:rStyle w:val="Emphasis"/>
          <w:rFonts w:ascii="Verdana" w:hAnsi="Verdana"/>
          <w:color w:val="000000"/>
          <w:sz w:val="21"/>
          <w:szCs w:val="21"/>
        </w:rPr>
        <w:t xml:space="preserve"> if so, what is the source of such biases? The following papers grapple with these intriguing questions:</w:t>
      </w:r>
    </w:p>
    <w:p w:rsidR="00294AB8" w:rsidRDefault="00294AB8" w:rsidP="00294AB8">
      <w:pPr>
        <w:pStyle w:val="NormalWeb"/>
        <w:rPr>
          <w:rFonts w:ascii="Verdana" w:hAnsi="Verdana"/>
          <w:color w:val="000000"/>
          <w:sz w:val="21"/>
          <w:szCs w:val="21"/>
        </w:rPr>
      </w:pPr>
      <w:proofErr w:type="spellStart"/>
      <w:r>
        <w:rPr>
          <w:rFonts w:ascii="Verdana" w:hAnsi="Verdana"/>
          <w:color w:val="000000"/>
          <w:sz w:val="21"/>
          <w:szCs w:val="21"/>
        </w:rPr>
        <w:t>Gerken</w:t>
      </w:r>
      <w:proofErr w:type="spellEnd"/>
      <w:r>
        <w:rPr>
          <w:rFonts w:ascii="Verdana" w:hAnsi="Verdana"/>
          <w:color w:val="000000"/>
          <w:sz w:val="21"/>
          <w:szCs w:val="21"/>
        </w:rPr>
        <w:t xml:space="preserve">, L. A., </w:t>
      </w:r>
      <w:proofErr w:type="spellStart"/>
      <w:r>
        <w:rPr>
          <w:rFonts w:ascii="Verdana" w:hAnsi="Verdana"/>
          <w:color w:val="000000"/>
          <w:sz w:val="21"/>
          <w:szCs w:val="21"/>
        </w:rPr>
        <w:t>Balcomb</w:t>
      </w:r>
      <w:proofErr w:type="spellEnd"/>
      <w:r>
        <w:rPr>
          <w:rFonts w:ascii="Verdana" w:hAnsi="Verdana"/>
          <w:color w:val="000000"/>
          <w:sz w:val="21"/>
          <w:szCs w:val="21"/>
        </w:rPr>
        <w:t>, F. K., &amp; Minton, J. L. (2011) Infants avoid “</w:t>
      </w:r>
      <w:proofErr w:type="spellStart"/>
      <w:r>
        <w:rPr>
          <w:rFonts w:ascii="Verdana" w:hAnsi="Verdana"/>
          <w:color w:val="000000"/>
          <w:sz w:val="21"/>
          <w:szCs w:val="21"/>
        </w:rPr>
        <w:t>labouring</w:t>
      </w:r>
      <w:proofErr w:type="spellEnd"/>
      <w:r>
        <w:rPr>
          <w:rFonts w:ascii="Verdana" w:hAnsi="Verdana"/>
          <w:color w:val="000000"/>
          <w:sz w:val="21"/>
          <w:szCs w:val="21"/>
        </w:rPr>
        <w:t xml:space="preserve"> in vain” by attending more </w:t>
      </w:r>
      <w:proofErr w:type="gramStart"/>
      <w:r>
        <w:rPr>
          <w:rFonts w:ascii="Verdana" w:hAnsi="Verdana"/>
          <w:color w:val="000000"/>
          <w:sz w:val="21"/>
          <w:szCs w:val="21"/>
        </w:rPr>
        <w:t>to</w:t>
      </w:r>
      <w:proofErr w:type="gramEnd"/>
      <w:r>
        <w:rPr>
          <w:rFonts w:ascii="Verdana" w:hAnsi="Verdana"/>
          <w:color w:val="000000"/>
          <w:sz w:val="21"/>
          <w:szCs w:val="21"/>
        </w:rPr>
        <w:t xml:space="preserve"> learnable than </w:t>
      </w:r>
      <w:proofErr w:type="spellStart"/>
      <w:r>
        <w:rPr>
          <w:rFonts w:ascii="Verdana" w:hAnsi="Verdana"/>
          <w:color w:val="000000"/>
          <w:sz w:val="21"/>
          <w:szCs w:val="21"/>
        </w:rPr>
        <w:t>unlearnable</w:t>
      </w:r>
      <w:proofErr w:type="spellEnd"/>
      <w:r>
        <w:rPr>
          <w:rFonts w:ascii="Verdana" w:hAnsi="Verdana"/>
          <w:color w:val="000000"/>
          <w:sz w:val="21"/>
          <w:szCs w:val="21"/>
        </w:rPr>
        <w:t xml:space="preserve"> linguistic patterns. </w:t>
      </w:r>
      <w:r>
        <w:rPr>
          <w:rStyle w:val="Emphasis"/>
          <w:rFonts w:ascii="Verdana" w:hAnsi="Verdana"/>
          <w:color w:val="000000"/>
          <w:sz w:val="21"/>
          <w:szCs w:val="21"/>
        </w:rPr>
        <w:t>Developmental Science, 14</w:t>
      </w:r>
      <w:r>
        <w:rPr>
          <w:rFonts w:ascii="Verdana" w:hAnsi="Verdana"/>
          <w:color w:val="000000"/>
          <w:sz w:val="21"/>
          <w:szCs w:val="21"/>
        </w:rPr>
        <w:t>, 972–979.</w:t>
      </w:r>
    </w:p>
    <w:p w:rsidR="00294AB8" w:rsidRDefault="00294AB8" w:rsidP="00294AB8">
      <w:pPr>
        <w:pStyle w:val="NormalWeb"/>
        <w:rPr>
          <w:rFonts w:ascii="Verdana" w:hAnsi="Verdana"/>
          <w:color w:val="000000"/>
          <w:sz w:val="21"/>
          <w:szCs w:val="21"/>
        </w:rPr>
      </w:pPr>
      <w:r>
        <w:rPr>
          <w:rFonts w:ascii="Verdana" w:hAnsi="Verdana"/>
          <w:color w:val="000000"/>
          <w:sz w:val="21"/>
          <w:szCs w:val="21"/>
        </w:rPr>
        <w:t xml:space="preserve">Pearl, L., &amp; </w:t>
      </w:r>
      <w:proofErr w:type="spellStart"/>
      <w:r>
        <w:rPr>
          <w:rFonts w:ascii="Verdana" w:hAnsi="Verdana"/>
          <w:color w:val="000000"/>
          <w:sz w:val="21"/>
          <w:szCs w:val="21"/>
        </w:rPr>
        <w:t>Sprouse</w:t>
      </w:r>
      <w:proofErr w:type="spellEnd"/>
      <w:r>
        <w:rPr>
          <w:rFonts w:ascii="Verdana" w:hAnsi="Verdana"/>
          <w:color w:val="000000"/>
          <w:sz w:val="21"/>
          <w:szCs w:val="21"/>
        </w:rPr>
        <w:t>, J. (2013) Syntactic islands and learning biases: Combining experimental syntax and computational modeling to investigate the language acquisition problem. </w:t>
      </w:r>
      <w:r>
        <w:rPr>
          <w:rStyle w:val="Emphasis"/>
          <w:rFonts w:ascii="Verdana" w:hAnsi="Verdana"/>
          <w:color w:val="000000"/>
          <w:sz w:val="21"/>
          <w:szCs w:val="21"/>
        </w:rPr>
        <w:t>Language Acquisition, 20</w:t>
      </w:r>
      <w:r>
        <w:rPr>
          <w:rFonts w:ascii="Verdana" w:hAnsi="Verdana"/>
          <w:color w:val="000000"/>
          <w:sz w:val="21"/>
          <w:szCs w:val="21"/>
        </w:rPr>
        <w:t>, 23–68.</w:t>
      </w:r>
    </w:p>
    <w:p w:rsidR="00294AB8" w:rsidRDefault="00294AB8" w:rsidP="00294AB8">
      <w:pPr>
        <w:pStyle w:val="Heading3"/>
        <w:rPr>
          <w:rFonts w:ascii="Verdana" w:hAnsi="Verdana"/>
          <w:color w:val="000000"/>
          <w:sz w:val="26"/>
          <w:szCs w:val="26"/>
        </w:rPr>
      </w:pPr>
      <w:r>
        <w:rPr>
          <w:rFonts w:ascii="Verdana" w:hAnsi="Verdana"/>
          <w:color w:val="000000"/>
          <w:sz w:val="26"/>
          <w:szCs w:val="26"/>
        </w:rPr>
        <w:t>Innateness and the “poverty of the stimulus”</w:t>
      </w:r>
    </w:p>
    <w:p w:rsidR="00294AB8" w:rsidRDefault="00294AB8" w:rsidP="00294AB8">
      <w:pPr>
        <w:pStyle w:val="NormalWeb"/>
        <w:spacing w:before="0" w:beforeAutospacing="0"/>
        <w:rPr>
          <w:rFonts w:ascii="Verdana" w:hAnsi="Verdana"/>
          <w:color w:val="000000"/>
          <w:sz w:val="21"/>
          <w:szCs w:val="21"/>
        </w:rPr>
      </w:pPr>
      <w:r>
        <w:rPr>
          <w:rStyle w:val="Emphasis"/>
          <w:rFonts w:ascii="Verdana" w:hAnsi="Verdana"/>
          <w:color w:val="000000"/>
          <w:sz w:val="21"/>
          <w:szCs w:val="21"/>
        </w:rPr>
        <w:t xml:space="preserve">The following papers present a spirited exchange between scholars who hold different views about the “poverty of the stimulus” argument for innate syntactic structure. The papers </w:t>
      </w:r>
      <w:proofErr w:type="gramStart"/>
      <w:r>
        <w:rPr>
          <w:rStyle w:val="Emphasis"/>
          <w:rFonts w:ascii="Verdana" w:hAnsi="Verdana"/>
          <w:color w:val="000000"/>
          <w:sz w:val="21"/>
          <w:szCs w:val="21"/>
        </w:rPr>
        <w:t>are best read</w:t>
      </w:r>
      <w:proofErr w:type="gramEnd"/>
      <w:r>
        <w:rPr>
          <w:rStyle w:val="Emphasis"/>
          <w:rFonts w:ascii="Verdana" w:hAnsi="Verdana"/>
          <w:color w:val="000000"/>
          <w:sz w:val="21"/>
          <w:szCs w:val="21"/>
        </w:rPr>
        <w:t xml:space="preserve"> in the order listed below:</w:t>
      </w:r>
    </w:p>
    <w:p w:rsidR="00294AB8" w:rsidRDefault="00294AB8" w:rsidP="00294AB8">
      <w:pPr>
        <w:pStyle w:val="NormalWeb"/>
        <w:rPr>
          <w:rFonts w:ascii="Verdana" w:hAnsi="Verdana"/>
          <w:color w:val="000000"/>
          <w:sz w:val="21"/>
          <w:szCs w:val="21"/>
        </w:rPr>
      </w:pPr>
      <w:r>
        <w:rPr>
          <w:rFonts w:ascii="Verdana" w:hAnsi="Verdana"/>
          <w:color w:val="000000"/>
          <w:sz w:val="21"/>
          <w:szCs w:val="21"/>
        </w:rPr>
        <w:t xml:space="preserve">Pullum, G. K., &amp; </w:t>
      </w:r>
      <w:proofErr w:type="spellStart"/>
      <w:r>
        <w:rPr>
          <w:rFonts w:ascii="Verdana" w:hAnsi="Verdana"/>
          <w:color w:val="000000"/>
          <w:sz w:val="21"/>
          <w:szCs w:val="21"/>
        </w:rPr>
        <w:t>Scholz</w:t>
      </w:r>
      <w:proofErr w:type="spellEnd"/>
      <w:r>
        <w:rPr>
          <w:rFonts w:ascii="Verdana" w:hAnsi="Verdana"/>
          <w:color w:val="000000"/>
          <w:sz w:val="21"/>
          <w:szCs w:val="21"/>
        </w:rPr>
        <w:t>, B. C. (2002) Empirical assessment of stimulus poverty arguments. </w:t>
      </w:r>
      <w:r>
        <w:rPr>
          <w:rStyle w:val="Emphasis"/>
          <w:rFonts w:ascii="Verdana" w:hAnsi="Verdana"/>
          <w:color w:val="000000"/>
          <w:sz w:val="21"/>
          <w:szCs w:val="21"/>
        </w:rPr>
        <w:t>The Linguistic Review, 19</w:t>
      </w:r>
      <w:r>
        <w:rPr>
          <w:rFonts w:ascii="Verdana" w:hAnsi="Verdana"/>
          <w:color w:val="000000"/>
          <w:sz w:val="21"/>
          <w:szCs w:val="21"/>
        </w:rPr>
        <w:t>, 9–50.</w:t>
      </w:r>
    </w:p>
    <w:p w:rsidR="00294AB8" w:rsidRDefault="00294AB8" w:rsidP="00294AB8">
      <w:pPr>
        <w:pStyle w:val="NormalWeb"/>
        <w:rPr>
          <w:rFonts w:ascii="Verdana" w:hAnsi="Verdana"/>
          <w:color w:val="000000"/>
          <w:sz w:val="21"/>
          <w:szCs w:val="21"/>
        </w:rPr>
      </w:pPr>
      <w:proofErr w:type="spellStart"/>
      <w:r>
        <w:rPr>
          <w:rFonts w:ascii="Verdana" w:hAnsi="Verdana"/>
          <w:color w:val="000000"/>
          <w:sz w:val="21"/>
          <w:szCs w:val="21"/>
        </w:rPr>
        <w:t>Lidz</w:t>
      </w:r>
      <w:proofErr w:type="spellEnd"/>
      <w:r>
        <w:rPr>
          <w:rFonts w:ascii="Verdana" w:hAnsi="Verdana"/>
          <w:color w:val="000000"/>
          <w:sz w:val="21"/>
          <w:szCs w:val="21"/>
        </w:rPr>
        <w:t xml:space="preserve">, J., Waxman, S., &amp; Freedman, J. (2003) </w:t>
      </w:r>
      <w:proofErr w:type="gramStart"/>
      <w:r>
        <w:rPr>
          <w:rFonts w:ascii="Verdana" w:hAnsi="Verdana"/>
          <w:color w:val="000000"/>
          <w:sz w:val="21"/>
          <w:szCs w:val="21"/>
        </w:rPr>
        <w:t>What</w:t>
      </w:r>
      <w:proofErr w:type="gramEnd"/>
      <w:r>
        <w:rPr>
          <w:rFonts w:ascii="Verdana" w:hAnsi="Verdana"/>
          <w:color w:val="000000"/>
          <w:sz w:val="21"/>
          <w:szCs w:val="21"/>
        </w:rPr>
        <w:t xml:space="preserve"> infants know about syntax but couldn’t have learned: Evidence for syntactic structure at 18-months. </w:t>
      </w:r>
      <w:r>
        <w:rPr>
          <w:rStyle w:val="Emphasis"/>
          <w:rFonts w:ascii="Verdana" w:hAnsi="Verdana"/>
          <w:color w:val="000000"/>
          <w:sz w:val="21"/>
          <w:szCs w:val="21"/>
        </w:rPr>
        <w:t>Cognition, 89</w:t>
      </w:r>
      <w:r>
        <w:rPr>
          <w:rFonts w:ascii="Verdana" w:hAnsi="Verdana"/>
          <w:color w:val="000000"/>
          <w:sz w:val="21"/>
          <w:szCs w:val="21"/>
        </w:rPr>
        <w:t>, B65–B73.</w:t>
      </w:r>
    </w:p>
    <w:p w:rsidR="00294AB8" w:rsidRDefault="00294AB8" w:rsidP="00294AB8">
      <w:pPr>
        <w:pStyle w:val="NormalWeb"/>
        <w:rPr>
          <w:rFonts w:ascii="Verdana" w:hAnsi="Verdana"/>
          <w:color w:val="000000"/>
          <w:sz w:val="21"/>
          <w:szCs w:val="21"/>
        </w:rPr>
      </w:pPr>
      <w:proofErr w:type="spellStart"/>
      <w:r>
        <w:rPr>
          <w:rFonts w:ascii="Verdana" w:hAnsi="Verdana"/>
          <w:color w:val="000000"/>
          <w:sz w:val="21"/>
          <w:szCs w:val="21"/>
        </w:rPr>
        <w:t>Ahktar</w:t>
      </w:r>
      <w:proofErr w:type="spellEnd"/>
      <w:r>
        <w:rPr>
          <w:rFonts w:ascii="Verdana" w:hAnsi="Verdana"/>
          <w:color w:val="000000"/>
          <w:sz w:val="21"/>
          <w:szCs w:val="21"/>
        </w:rPr>
        <w:t xml:space="preserve">, N., </w:t>
      </w:r>
      <w:proofErr w:type="spellStart"/>
      <w:r>
        <w:rPr>
          <w:rFonts w:ascii="Verdana" w:hAnsi="Verdana"/>
          <w:color w:val="000000"/>
          <w:sz w:val="21"/>
          <w:szCs w:val="21"/>
        </w:rPr>
        <w:t>Callanan</w:t>
      </w:r>
      <w:proofErr w:type="spellEnd"/>
      <w:r>
        <w:rPr>
          <w:rFonts w:ascii="Verdana" w:hAnsi="Verdana"/>
          <w:color w:val="000000"/>
          <w:sz w:val="21"/>
          <w:szCs w:val="21"/>
        </w:rPr>
        <w:t xml:space="preserve">, M., </w:t>
      </w:r>
      <w:proofErr w:type="spellStart"/>
      <w:r>
        <w:rPr>
          <w:rFonts w:ascii="Verdana" w:hAnsi="Verdana"/>
          <w:color w:val="000000"/>
          <w:sz w:val="21"/>
          <w:szCs w:val="21"/>
        </w:rPr>
        <w:t>Pullun</w:t>
      </w:r>
      <w:proofErr w:type="spellEnd"/>
      <w:r>
        <w:rPr>
          <w:rFonts w:ascii="Verdana" w:hAnsi="Verdana"/>
          <w:color w:val="000000"/>
          <w:sz w:val="21"/>
          <w:szCs w:val="21"/>
        </w:rPr>
        <w:t xml:space="preserve">, G., &amp; </w:t>
      </w:r>
      <w:proofErr w:type="spellStart"/>
      <w:r>
        <w:rPr>
          <w:rFonts w:ascii="Verdana" w:hAnsi="Verdana"/>
          <w:color w:val="000000"/>
          <w:sz w:val="21"/>
          <w:szCs w:val="21"/>
        </w:rPr>
        <w:t>Scholz</w:t>
      </w:r>
      <w:proofErr w:type="spellEnd"/>
      <w:r>
        <w:rPr>
          <w:rFonts w:ascii="Verdana" w:hAnsi="Verdana"/>
          <w:color w:val="000000"/>
          <w:sz w:val="21"/>
          <w:szCs w:val="21"/>
        </w:rPr>
        <w:t>, B. (2004) Learning antecedents for anaphoric one. </w:t>
      </w:r>
      <w:r>
        <w:rPr>
          <w:rStyle w:val="Emphasis"/>
          <w:rFonts w:ascii="Verdana" w:hAnsi="Verdana"/>
          <w:color w:val="000000"/>
          <w:sz w:val="21"/>
          <w:szCs w:val="21"/>
        </w:rPr>
        <w:t>Cognition, 93,</w:t>
      </w:r>
      <w:r>
        <w:rPr>
          <w:rFonts w:ascii="Verdana" w:hAnsi="Verdana"/>
          <w:color w:val="000000"/>
          <w:sz w:val="21"/>
          <w:szCs w:val="21"/>
        </w:rPr>
        <w:t> 141–145.</w:t>
      </w:r>
    </w:p>
    <w:p w:rsidR="00294AB8" w:rsidRDefault="00294AB8" w:rsidP="00294AB8">
      <w:pPr>
        <w:pStyle w:val="NormalWeb"/>
        <w:rPr>
          <w:rFonts w:ascii="Verdana" w:hAnsi="Verdana"/>
          <w:color w:val="000000"/>
          <w:sz w:val="21"/>
          <w:szCs w:val="21"/>
        </w:rPr>
      </w:pPr>
      <w:proofErr w:type="spellStart"/>
      <w:r>
        <w:rPr>
          <w:rFonts w:ascii="Verdana" w:hAnsi="Verdana"/>
          <w:color w:val="000000"/>
          <w:sz w:val="21"/>
          <w:szCs w:val="21"/>
        </w:rPr>
        <w:t>Lidz</w:t>
      </w:r>
      <w:proofErr w:type="spellEnd"/>
      <w:r>
        <w:rPr>
          <w:rFonts w:ascii="Verdana" w:hAnsi="Verdana"/>
          <w:color w:val="000000"/>
          <w:sz w:val="21"/>
          <w:szCs w:val="21"/>
        </w:rPr>
        <w:t>, J., &amp; Waxman, S. (2004) Reaffirming the poverty of the stimulus argument: a reply to the replies. </w:t>
      </w:r>
      <w:r>
        <w:rPr>
          <w:rStyle w:val="Emphasis"/>
          <w:rFonts w:ascii="Verdana" w:hAnsi="Verdana"/>
          <w:color w:val="000000"/>
          <w:sz w:val="21"/>
          <w:szCs w:val="21"/>
        </w:rPr>
        <w:t>Cognition, 93</w:t>
      </w:r>
      <w:r>
        <w:rPr>
          <w:rFonts w:ascii="Verdana" w:hAnsi="Verdana"/>
          <w:color w:val="000000"/>
          <w:sz w:val="21"/>
          <w:szCs w:val="21"/>
        </w:rPr>
        <w:t>, 157–165.</w:t>
      </w:r>
    </w:p>
    <w:p w:rsidR="00BF1EFD" w:rsidRDefault="00BF1EFD" w:rsidP="00BF1EFD">
      <w:pPr>
        <w:pStyle w:val="NormalWeb"/>
        <w:rPr>
          <w:rFonts w:ascii="Verdana" w:hAnsi="Verdana"/>
          <w:color w:val="000000"/>
          <w:sz w:val="21"/>
          <w:szCs w:val="21"/>
        </w:rPr>
      </w:pPr>
      <w:r>
        <w:rPr>
          <w:rFonts w:ascii="Verdana" w:hAnsi="Verdana"/>
          <w:color w:val="000000"/>
          <w:sz w:val="21"/>
          <w:szCs w:val="21"/>
        </w:rPr>
        <w:t> </w:t>
      </w:r>
    </w:p>
    <w:p w:rsidR="00762A28" w:rsidRDefault="00762A28" w:rsidP="00762A28">
      <w:pPr>
        <w:pStyle w:val="NormalWeb"/>
        <w:rPr>
          <w:rFonts w:ascii="Verdana" w:hAnsi="Verdana"/>
          <w:color w:val="000000"/>
          <w:sz w:val="21"/>
          <w:szCs w:val="21"/>
        </w:rPr>
      </w:pPr>
    </w:p>
    <w:p w:rsidR="00BC4CB2" w:rsidRDefault="00BC4CB2">
      <w:r>
        <w:rPr>
          <w:rFonts w:cstheme="minorHAnsi"/>
        </w:rPr>
        <w:t xml:space="preserve">© 2019 </w:t>
      </w:r>
      <w:r>
        <w:t xml:space="preserve">Oxford University Press </w:t>
      </w:r>
      <w:bookmarkStart w:id="0" w:name="_GoBack"/>
      <w:bookmarkEnd w:id="0"/>
    </w:p>
    <w:p w:rsidR="00F04E28" w:rsidRDefault="00F04E28"/>
    <w:sectPr w:rsidR="00F04E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15D"/>
    <w:rsid w:val="00243D79"/>
    <w:rsid w:val="00294AB8"/>
    <w:rsid w:val="004717CD"/>
    <w:rsid w:val="00611621"/>
    <w:rsid w:val="006467EA"/>
    <w:rsid w:val="00762A28"/>
    <w:rsid w:val="00833027"/>
    <w:rsid w:val="00BC4CB2"/>
    <w:rsid w:val="00BE7529"/>
    <w:rsid w:val="00BF1EFD"/>
    <w:rsid w:val="00C00AE8"/>
    <w:rsid w:val="00D7215D"/>
    <w:rsid w:val="00EA06A3"/>
    <w:rsid w:val="00F04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6CFA3"/>
  <w15:chartTrackingRefBased/>
  <w15:docId w15:val="{39646935-A410-4FD1-9D6A-EF5C9EEC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721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721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15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7215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7215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7215D"/>
    <w:rPr>
      <w:i/>
      <w:iCs/>
    </w:rPr>
  </w:style>
  <w:style w:type="character" w:styleId="Hyperlink">
    <w:name w:val="Hyperlink"/>
    <w:basedOn w:val="DefaultParagraphFont"/>
    <w:uiPriority w:val="99"/>
    <w:unhideWhenUsed/>
    <w:rsid w:val="00D7215D"/>
    <w:rPr>
      <w:color w:val="0000FF"/>
      <w:u w:val="single"/>
    </w:rPr>
  </w:style>
  <w:style w:type="character" w:styleId="Strong">
    <w:name w:val="Strong"/>
    <w:basedOn w:val="DefaultParagraphFont"/>
    <w:uiPriority w:val="22"/>
    <w:qFormat/>
    <w:rsid w:val="006116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4478">
      <w:bodyDiv w:val="1"/>
      <w:marLeft w:val="0"/>
      <w:marRight w:val="0"/>
      <w:marTop w:val="0"/>
      <w:marBottom w:val="0"/>
      <w:divBdr>
        <w:top w:val="none" w:sz="0" w:space="0" w:color="auto"/>
        <w:left w:val="none" w:sz="0" w:space="0" w:color="auto"/>
        <w:bottom w:val="none" w:sz="0" w:space="0" w:color="auto"/>
        <w:right w:val="none" w:sz="0" w:space="0" w:color="auto"/>
      </w:divBdr>
    </w:div>
    <w:div w:id="95293543">
      <w:bodyDiv w:val="1"/>
      <w:marLeft w:val="0"/>
      <w:marRight w:val="0"/>
      <w:marTop w:val="0"/>
      <w:marBottom w:val="0"/>
      <w:divBdr>
        <w:top w:val="none" w:sz="0" w:space="0" w:color="auto"/>
        <w:left w:val="none" w:sz="0" w:space="0" w:color="auto"/>
        <w:bottom w:val="none" w:sz="0" w:space="0" w:color="auto"/>
        <w:right w:val="none" w:sz="0" w:space="0" w:color="auto"/>
      </w:divBdr>
    </w:div>
    <w:div w:id="714238698">
      <w:bodyDiv w:val="1"/>
      <w:marLeft w:val="0"/>
      <w:marRight w:val="0"/>
      <w:marTop w:val="0"/>
      <w:marBottom w:val="0"/>
      <w:divBdr>
        <w:top w:val="none" w:sz="0" w:space="0" w:color="auto"/>
        <w:left w:val="none" w:sz="0" w:space="0" w:color="auto"/>
        <w:bottom w:val="none" w:sz="0" w:space="0" w:color="auto"/>
        <w:right w:val="none" w:sz="0" w:space="0" w:color="auto"/>
      </w:divBdr>
    </w:div>
    <w:div w:id="1218780765">
      <w:bodyDiv w:val="1"/>
      <w:marLeft w:val="0"/>
      <w:marRight w:val="0"/>
      <w:marTop w:val="0"/>
      <w:marBottom w:val="0"/>
      <w:divBdr>
        <w:top w:val="none" w:sz="0" w:space="0" w:color="auto"/>
        <w:left w:val="none" w:sz="0" w:space="0" w:color="auto"/>
        <w:bottom w:val="none" w:sz="0" w:space="0" w:color="auto"/>
        <w:right w:val="none" w:sz="0" w:space="0" w:color="auto"/>
      </w:divBdr>
    </w:div>
    <w:div w:id="1291210133">
      <w:bodyDiv w:val="1"/>
      <w:marLeft w:val="0"/>
      <w:marRight w:val="0"/>
      <w:marTop w:val="0"/>
      <w:marBottom w:val="0"/>
      <w:divBdr>
        <w:top w:val="none" w:sz="0" w:space="0" w:color="auto"/>
        <w:left w:val="none" w:sz="0" w:space="0" w:color="auto"/>
        <w:bottom w:val="none" w:sz="0" w:space="0" w:color="auto"/>
        <w:right w:val="none" w:sz="0" w:space="0" w:color="auto"/>
      </w:divBdr>
    </w:div>
    <w:div w:id="1908027275">
      <w:bodyDiv w:val="1"/>
      <w:marLeft w:val="0"/>
      <w:marRight w:val="0"/>
      <w:marTop w:val="0"/>
      <w:marBottom w:val="0"/>
      <w:divBdr>
        <w:top w:val="none" w:sz="0" w:space="0" w:color="auto"/>
        <w:left w:val="none" w:sz="0" w:space="0" w:color="auto"/>
        <w:bottom w:val="none" w:sz="0" w:space="0" w:color="auto"/>
        <w:right w:val="none" w:sz="0" w:space="0" w:color="auto"/>
      </w:divBdr>
    </w:div>
    <w:div w:id="200481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Lacey</dc:creator>
  <cp:keywords/>
  <dc:description/>
  <cp:lastModifiedBy>Peter Lacey</cp:lastModifiedBy>
  <cp:revision>18</cp:revision>
  <dcterms:created xsi:type="dcterms:W3CDTF">2018-11-27T20:01:00Z</dcterms:created>
  <dcterms:modified xsi:type="dcterms:W3CDTF">2019-04-09T15:20:00Z</dcterms:modified>
</cp:coreProperties>
</file>