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082" w:rsidRDefault="00184082" w:rsidP="00184082">
      <w:pPr>
        <w:pStyle w:val="Heading1"/>
      </w:pPr>
      <w:r>
        <w:t>Chapter Fifteen</w:t>
      </w:r>
    </w:p>
    <w:p w:rsidR="00184082" w:rsidRDefault="00184082" w:rsidP="00184082">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bookmarkStart w:id="0" w:name="_GoBack"/>
      <w:bookmarkEnd w:id="0"/>
    </w:p>
    <w:p w:rsidR="00184082" w:rsidRDefault="00184082" w:rsidP="00184082">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When you have completed this chapter you should have a broad understanding of the capital budgeting process. You will have a basic knowledge of the methods used to evaluate alternative investment projects, the methods used to calculate the composite cost of capital, and the importance of capital in determining the international competitiveness of firms.</w:t>
      </w:r>
    </w:p>
    <w:p w:rsidR="00184082" w:rsidRDefault="00184082" w:rsidP="00184082">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Some of the problems that you will encounter in this chapter will require you to carry out calculations that involve the time value of money. Students can do all the necessary computations and analysis using Microsoft Excel.</w:t>
      </w:r>
    </w:p>
    <w:p w:rsidR="00184082" w:rsidRDefault="00184082" w:rsidP="00184082">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184082" w:rsidRPr="00D539A8"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NPV=</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1+k</m:t>
                        </m:r>
                      </m:e>
                    </m:d>
                  </m:e>
                  <m:sup>
                    <m:r>
                      <w:rPr>
                        <w:rFonts w:ascii="Cambria Math" w:hAnsi="Cambria Math"/>
                        <w:color w:val="000000"/>
                        <w:sz w:val="22"/>
                        <w:szCs w:val="18"/>
                      </w:rPr>
                      <m:t>t</m:t>
                    </m:r>
                  </m:sup>
                </m:sSup>
              </m:den>
            </m:f>
          </m:e>
        </m:nary>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0</m:t>
            </m:r>
          </m:sub>
        </m:sSub>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15-1 defines the net present value (NPV) of a project in terms of the initial investment (C</w:t>
      </w:r>
      <w:r>
        <w:rPr>
          <w:rFonts w:ascii="Verdana" w:hAnsi="Verdana"/>
          <w:color w:val="000000"/>
          <w:sz w:val="18"/>
          <w:szCs w:val="18"/>
          <w:vertAlign w:val="subscript"/>
        </w:rPr>
        <w:t>0</w:t>
      </w:r>
      <w:r>
        <w:rPr>
          <w:rFonts w:ascii="Verdana" w:hAnsi="Verdana"/>
          <w:color w:val="000000"/>
          <w:sz w:val="18"/>
          <w:szCs w:val="18"/>
        </w:rPr>
        <w:t>), the net cash flow in time period t (</w:t>
      </w:r>
      <w:proofErr w:type="spellStart"/>
      <w:proofErr w:type="gramStart"/>
      <w:r>
        <w:rPr>
          <w:rFonts w:ascii="Verdana" w:hAnsi="Verdana"/>
          <w:color w:val="000000"/>
          <w:sz w:val="18"/>
          <w:szCs w:val="18"/>
        </w:rPr>
        <w:t>R</w:t>
      </w:r>
      <w:r>
        <w:rPr>
          <w:rFonts w:ascii="Verdana" w:hAnsi="Verdana"/>
          <w:color w:val="000000"/>
          <w:sz w:val="18"/>
          <w:szCs w:val="18"/>
          <w:vertAlign w:val="subscript"/>
        </w:rPr>
        <w:t>t</w:t>
      </w:r>
      <w:proofErr w:type="spellEnd"/>
      <w:proofErr w:type="gramEnd"/>
      <w:r>
        <w:rPr>
          <w:rFonts w:ascii="Verdana" w:hAnsi="Verdana"/>
          <w:color w:val="000000"/>
          <w:sz w:val="18"/>
          <w:szCs w:val="18"/>
        </w:rPr>
        <w:t>) for each of n time periods, and the risk-adjusted discount rate (k).</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(15-2)</w:t>
      </w:r>
      <w:r>
        <w:rPr>
          <w:rFonts w:ascii="Verdana" w:hAnsi="Verdana"/>
          <w:iCs/>
          <w:color w:val="000000"/>
          <w:sz w:val="18"/>
          <w:szCs w:val="18"/>
        </w:rPr>
        <w:tab/>
      </w:r>
      <w:r>
        <w:rPr>
          <w:rFonts w:ascii="Verdana" w:hAnsi="Verdana"/>
          <w:iCs/>
          <w:color w:val="000000"/>
          <w:sz w:val="18"/>
          <w:szCs w:val="18"/>
        </w:rPr>
        <w:tab/>
      </w:r>
      <m:oMath>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m:t>
                    </m:r>
                    <m:sSup>
                      <m:sSupPr>
                        <m:ctrlPr>
                          <w:rPr>
                            <w:rFonts w:ascii="Cambria Math" w:hAnsi="Cambria Math"/>
                            <w:i/>
                            <w:iCs/>
                            <w:color w:val="000000"/>
                            <w:sz w:val="22"/>
                            <w:szCs w:val="18"/>
                          </w:rPr>
                        </m:ctrlPr>
                      </m:sSupPr>
                      <m:e>
                        <m:r>
                          <w:rPr>
                            <w:rFonts w:ascii="Cambria Math" w:hAnsi="Cambria Math"/>
                            <w:color w:val="000000"/>
                            <w:sz w:val="22"/>
                            <w:szCs w:val="18"/>
                          </w:rPr>
                          <m:t>k</m:t>
                        </m:r>
                      </m:e>
                      <m:sup>
                        <m:r>
                          <w:rPr>
                            <w:rFonts w:ascii="Cambria Math" w:hAnsi="Cambria Math"/>
                            <w:color w:val="000000"/>
                            <w:sz w:val="22"/>
                            <w:szCs w:val="18"/>
                          </w:rPr>
                          <m:t>*</m:t>
                        </m:r>
                      </m:sup>
                    </m:sSup>
                  </m:e>
                </m:d>
              </m:e>
              <m:sup>
                <m:r>
                  <w:rPr>
                    <w:rFonts w:ascii="Cambria Math" w:hAnsi="Cambria Math"/>
                    <w:color w:val="000000"/>
                    <w:sz w:val="22"/>
                    <w:szCs w:val="18"/>
                  </w:rPr>
                  <m:t>t</m:t>
                </m:r>
              </m:sup>
            </m:sSup>
          </m:den>
        </m:f>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0</m:t>
            </m:r>
          </m:sub>
        </m:sSub>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15–2 defines the internal rate of return (IRR or k*) as the discount rate that equates the present value of future net cash flows with the initial investment associated with a project. Note that this equation implies that the net present value of a project is zero if the discount rate is equal to the internal rate of return.</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PI=</m:t>
        </m:r>
        <m:f>
          <m:fPr>
            <m:ctrlPr>
              <w:rPr>
                <w:rFonts w:ascii="Cambria Math" w:hAnsi="Cambria Math"/>
                <w:i/>
                <w:iCs/>
                <w:color w:val="000000"/>
                <w:sz w:val="22"/>
                <w:szCs w:val="18"/>
              </w:rPr>
            </m:ctrlPr>
          </m:fPr>
          <m:num>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d>
                  <m:dPr>
                    <m:begChr m:val="["/>
                    <m:endChr m:val="]"/>
                    <m:ctrlPr>
                      <w:rPr>
                        <w:rFonts w:ascii="Cambria Math" w:hAnsi="Cambria Math"/>
                        <w:i/>
                        <w:iCs/>
                        <w:color w:val="000000"/>
                        <w:sz w:val="22"/>
                        <w:szCs w:val="18"/>
                      </w:rPr>
                    </m:ctrlPr>
                  </m:dPr>
                  <m:e>
                    <m:f>
                      <m:fPr>
                        <m:type m:val="lin"/>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1+k</m:t>
                                </m:r>
                              </m:e>
                            </m:d>
                          </m:e>
                          <m:sup>
                            <m:r>
                              <w:rPr>
                                <w:rFonts w:ascii="Cambria Math" w:hAnsi="Cambria Math"/>
                                <w:color w:val="000000"/>
                                <w:sz w:val="22"/>
                                <w:szCs w:val="18"/>
                              </w:rPr>
                              <m:t>t</m:t>
                            </m:r>
                          </m:sup>
                        </m:sSup>
                      </m:den>
                    </m:f>
                    <m:r>
                      <w:rPr>
                        <w:rFonts w:ascii="Cambria Math" w:hAnsi="Cambria Math"/>
                        <w:color w:val="000000"/>
                        <w:sz w:val="22"/>
                        <w:szCs w:val="18"/>
                      </w:rPr>
                      <m:t xml:space="preserve"> </m:t>
                    </m:r>
                  </m:e>
                </m:d>
              </m:e>
            </m:nary>
          </m:num>
          <m:den>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0</m:t>
                </m:r>
              </m:sub>
            </m:sSub>
          </m:den>
        </m:f>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15–3 defines the profitability index (PI) as the discounted value of the future net cash flows from a project divided by the initial investment associated with the project. For projects that have a net present value greater than zero, this ratio will be greater than one.</w:t>
      </w:r>
    </w:p>
    <w:p w:rsidR="00184082" w:rsidRPr="00D15136" w:rsidRDefault="00184082" w:rsidP="00184082">
      <w:pPr>
        <w:pStyle w:val="NormalWeb"/>
        <w:shd w:val="clear" w:color="auto" w:fill="FFFFFF"/>
        <w:rPr>
          <w:rFonts w:ascii="Verdana" w:hAnsi="Verdana"/>
          <w:color w:val="000000"/>
          <w:sz w:val="22"/>
          <w:szCs w:val="18"/>
        </w:rPr>
      </w:pPr>
      <w:r>
        <w:rPr>
          <w:rFonts w:ascii="Verdana" w:hAnsi="Verdana"/>
          <w:iCs/>
          <w:color w:val="000000"/>
          <w:sz w:val="18"/>
          <w:szCs w:val="18"/>
        </w:rPr>
        <w:t>(15-4)</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d</m:t>
            </m:r>
          </m:sub>
        </m:sSub>
        <m:r>
          <w:rPr>
            <w:rFonts w:ascii="Cambria Math" w:hAnsi="Cambria Math"/>
            <w:color w:val="000000"/>
            <w:sz w:val="22"/>
            <w:szCs w:val="18"/>
          </w:rPr>
          <m:t>=r</m:t>
        </m:r>
        <m:d>
          <m:dPr>
            <m:ctrlPr>
              <w:rPr>
                <w:rFonts w:ascii="Cambria Math" w:hAnsi="Cambria Math"/>
                <w:i/>
                <w:iCs/>
                <w:color w:val="000000"/>
                <w:sz w:val="22"/>
                <w:szCs w:val="18"/>
              </w:rPr>
            </m:ctrlPr>
          </m:dPr>
          <m:e>
            <m:r>
              <w:rPr>
                <w:rFonts w:ascii="Cambria Math" w:hAnsi="Cambria Math"/>
                <w:color w:val="000000"/>
                <w:sz w:val="22"/>
                <w:szCs w:val="18"/>
              </w:rPr>
              <m:t>1-t</m:t>
            </m:r>
          </m:e>
        </m:d>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15–4 defines the after-tax cost of borrowed funds (</w:t>
      </w:r>
      <w:proofErr w:type="spellStart"/>
      <w:proofErr w:type="gramStart"/>
      <w:r>
        <w:rPr>
          <w:rFonts w:ascii="Verdana" w:hAnsi="Verdana"/>
          <w:color w:val="000000"/>
          <w:sz w:val="18"/>
          <w:szCs w:val="18"/>
        </w:rPr>
        <w:t>k</w:t>
      </w:r>
      <w:r>
        <w:rPr>
          <w:rFonts w:ascii="Verdana" w:hAnsi="Verdana"/>
          <w:color w:val="000000"/>
          <w:sz w:val="18"/>
          <w:szCs w:val="18"/>
          <w:vertAlign w:val="subscript"/>
        </w:rPr>
        <w:t>d</w:t>
      </w:r>
      <w:proofErr w:type="spellEnd"/>
      <w:proofErr w:type="gramEnd"/>
      <w:r>
        <w:rPr>
          <w:rFonts w:ascii="Verdana" w:hAnsi="Verdana"/>
          <w:color w:val="000000"/>
          <w:sz w:val="18"/>
          <w:szCs w:val="18"/>
        </w:rPr>
        <w:t>) in terms of the market interest rate (r) and the marginal tax rate (t).</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(15-5)</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f</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p</m:t>
            </m:r>
          </m:sub>
        </m:sSub>
      </m:oMath>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(15-6)</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f</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1</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2</m:t>
            </m:r>
          </m:sub>
        </m:sSub>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lastRenderedPageBreak/>
        <w:t>Equations 15–5 and 15–6 define the cost of equity capital (</w:t>
      </w:r>
      <w:proofErr w:type="spellStart"/>
      <w:r>
        <w:rPr>
          <w:rFonts w:ascii="Verdana" w:hAnsi="Verdana"/>
          <w:color w:val="000000"/>
          <w:sz w:val="18"/>
          <w:szCs w:val="18"/>
        </w:rPr>
        <w:t>k</w:t>
      </w:r>
      <w:r>
        <w:rPr>
          <w:rFonts w:ascii="Verdana" w:hAnsi="Verdana"/>
          <w:color w:val="000000"/>
          <w:sz w:val="18"/>
          <w:szCs w:val="18"/>
          <w:vertAlign w:val="subscript"/>
        </w:rPr>
        <w:t>e</w:t>
      </w:r>
      <w:proofErr w:type="spellEnd"/>
      <w:r>
        <w:rPr>
          <w:rFonts w:ascii="Verdana" w:hAnsi="Verdana"/>
          <w:color w:val="000000"/>
          <w:sz w:val="18"/>
          <w:szCs w:val="18"/>
        </w:rPr>
        <w:t>) in terms of a risk free rate of return (</w:t>
      </w:r>
      <w:proofErr w:type="spellStart"/>
      <w:proofErr w:type="gramStart"/>
      <w:r>
        <w:rPr>
          <w:rFonts w:ascii="Verdana" w:hAnsi="Verdana"/>
          <w:color w:val="000000"/>
          <w:sz w:val="18"/>
          <w:szCs w:val="18"/>
        </w:rPr>
        <w:t>r</w:t>
      </w:r>
      <w:r>
        <w:rPr>
          <w:rFonts w:ascii="Verdana" w:hAnsi="Verdana"/>
          <w:color w:val="000000"/>
          <w:sz w:val="18"/>
          <w:szCs w:val="18"/>
          <w:vertAlign w:val="subscript"/>
        </w:rPr>
        <w:t>f</w:t>
      </w:r>
      <w:proofErr w:type="spellEnd"/>
      <w:proofErr w:type="gramEnd"/>
      <w:r>
        <w:rPr>
          <w:rFonts w:ascii="Verdana" w:hAnsi="Verdana"/>
          <w:color w:val="000000"/>
          <w:sz w:val="18"/>
          <w:szCs w:val="18"/>
        </w:rPr>
        <w:t>) and a risk premium (</w:t>
      </w:r>
      <w:proofErr w:type="spellStart"/>
      <w:r>
        <w:rPr>
          <w:rFonts w:ascii="Verdana" w:hAnsi="Verdana"/>
          <w:color w:val="000000"/>
          <w:sz w:val="18"/>
          <w:szCs w:val="18"/>
        </w:rPr>
        <w:t>r</w:t>
      </w:r>
      <w:r>
        <w:rPr>
          <w:rFonts w:ascii="Verdana" w:hAnsi="Verdana"/>
          <w:color w:val="000000"/>
          <w:sz w:val="18"/>
          <w:szCs w:val="18"/>
          <w:vertAlign w:val="subscript"/>
        </w:rPr>
        <w:t>p</w:t>
      </w:r>
      <w:proofErr w:type="spellEnd"/>
      <w:r>
        <w:rPr>
          <w:rFonts w:ascii="Verdana" w:hAnsi="Verdana"/>
          <w:color w:val="000000"/>
          <w:sz w:val="18"/>
          <w:szCs w:val="18"/>
        </w:rPr>
        <w:t>). Equation 15–6 separates the risk premium from Equation 15–5 into two components. The first component (p</w:t>
      </w:r>
      <w:r>
        <w:rPr>
          <w:rFonts w:ascii="Verdana" w:hAnsi="Verdana"/>
          <w:color w:val="000000"/>
          <w:sz w:val="18"/>
          <w:szCs w:val="18"/>
          <w:vertAlign w:val="subscript"/>
        </w:rPr>
        <w:t>1</w:t>
      </w:r>
      <w:r>
        <w:rPr>
          <w:rFonts w:ascii="Verdana" w:hAnsi="Verdana"/>
          <w:color w:val="000000"/>
          <w:sz w:val="18"/>
          <w:szCs w:val="18"/>
        </w:rPr>
        <w:t>) is the added risk that is associated with debt issued by a firm when compared with risk-free debt issued in the form of government treasury bills. The second component (p</w:t>
      </w:r>
      <w:r>
        <w:rPr>
          <w:rFonts w:ascii="Verdana" w:hAnsi="Verdana"/>
          <w:color w:val="000000"/>
          <w:sz w:val="18"/>
          <w:szCs w:val="18"/>
          <w:vertAlign w:val="subscript"/>
        </w:rPr>
        <w:t>2</w:t>
      </w:r>
      <w:r>
        <w:rPr>
          <w:rFonts w:ascii="Verdana" w:hAnsi="Verdana"/>
          <w:color w:val="000000"/>
          <w:sz w:val="18"/>
          <w:szCs w:val="18"/>
        </w:rPr>
        <w:t>) is the added risk that is associated with holding stocks issued by the firm rather than holding bonds issued by the firm.</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(15-7)</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m:t>
            </m:r>
          </m:sup>
          <m:e>
            <m:f>
              <m:fPr>
                <m:ctrlPr>
                  <w:rPr>
                    <w:rFonts w:ascii="Cambria Math" w:hAnsi="Cambria Math"/>
                    <w:i/>
                    <w:iCs/>
                    <w:color w:val="000000"/>
                    <w:sz w:val="22"/>
                    <w:szCs w:val="18"/>
                  </w:rPr>
                </m:ctrlPr>
              </m:fPr>
              <m:num>
                <m:r>
                  <w:rPr>
                    <w:rFonts w:ascii="Cambria Math" w:hAnsi="Cambria Math"/>
                    <w:color w:val="000000"/>
                    <w:sz w:val="22"/>
                    <w:szCs w:val="18"/>
                  </w:rPr>
                  <m:t>D</m:t>
                </m:r>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m:t>
                        </m:r>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e>
                    </m:d>
                  </m:e>
                  <m:sup>
                    <m:r>
                      <w:rPr>
                        <w:rFonts w:ascii="Cambria Math" w:hAnsi="Cambria Math"/>
                        <w:color w:val="000000"/>
                        <w:sz w:val="22"/>
                        <w:szCs w:val="18"/>
                      </w:rPr>
                      <m:t>t</m:t>
                    </m:r>
                  </m:sup>
                </m:sSup>
              </m:den>
            </m:f>
          </m:e>
        </m:nary>
      </m:oMath>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(15-8)</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m:t>
        </m:r>
        <m:f>
          <m:fPr>
            <m:ctrlPr>
              <w:rPr>
                <w:rFonts w:ascii="Cambria Math" w:hAnsi="Cambria Math"/>
                <w:i/>
                <w:iCs/>
                <w:color w:val="000000"/>
                <w:sz w:val="22"/>
                <w:szCs w:val="18"/>
              </w:rPr>
            </m:ctrlPr>
          </m:fPr>
          <m:num>
            <m:r>
              <w:rPr>
                <w:rFonts w:ascii="Cambria Math" w:hAnsi="Cambria Math"/>
                <w:color w:val="000000"/>
                <w:sz w:val="22"/>
                <w:szCs w:val="18"/>
              </w:rPr>
              <m:t>D</m:t>
            </m:r>
          </m:num>
          <m:den>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den>
        </m:f>
      </m:oMath>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(15-9)</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P=</m:t>
        </m:r>
        <m:f>
          <m:fPr>
            <m:ctrlPr>
              <w:rPr>
                <w:rFonts w:ascii="Cambria Math" w:hAnsi="Cambria Math"/>
                <w:i/>
                <w:iCs/>
                <w:color w:val="000000"/>
                <w:sz w:val="22"/>
                <w:szCs w:val="18"/>
              </w:rPr>
            </m:ctrlPr>
          </m:fPr>
          <m:num>
            <m:r>
              <w:rPr>
                <w:rFonts w:ascii="Cambria Math" w:hAnsi="Cambria Math"/>
                <w:color w:val="000000"/>
                <w:sz w:val="22"/>
                <w:szCs w:val="18"/>
              </w:rPr>
              <m:t>D</m:t>
            </m:r>
          </m:num>
          <m:den>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r>
              <w:rPr>
                <w:rFonts w:ascii="Cambria Math" w:hAnsi="Cambria Math"/>
                <w:color w:val="000000"/>
                <w:sz w:val="22"/>
                <w:szCs w:val="18"/>
              </w:rPr>
              <m:t>-g</m:t>
            </m:r>
          </m:den>
        </m:f>
      </m:oMath>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(15-10)</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D</m:t>
            </m:r>
          </m:num>
          <m:den>
            <m:r>
              <w:rPr>
                <w:rFonts w:ascii="Cambria Math" w:hAnsi="Cambria Math"/>
                <w:color w:val="000000"/>
                <w:sz w:val="22"/>
                <w:szCs w:val="18"/>
              </w:rPr>
              <m:t>P</m:t>
            </m:r>
          </m:den>
        </m:f>
        <m:r>
          <w:rPr>
            <w:rFonts w:ascii="Cambria Math" w:hAnsi="Cambria Math"/>
            <w:color w:val="000000"/>
            <w:sz w:val="22"/>
            <w:szCs w:val="18"/>
          </w:rPr>
          <m:t>+g</m:t>
        </m:r>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Equations 15–7 and 15–8 are equivalent representations of the present value of a firm (P) in terms of the firm's constant future dividend rate (D) for the indefinite future and the investor's required rate of return (</w:t>
      </w:r>
      <w:proofErr w:type="spellStart"/>
      <w:r>
        <w:rPr>
          <w:rFonts w:ascii="Verdana" w:hAnsi="Verdana"/>
          <w:color w:val="000000"/>
          <w:sz w:val="18"/>
          <w:szCs w:val="18"/>
        </w:rPr>
        <w:t>k</w:t>
      </w:r>
      <w:r>
        <w:rPr>
          <w:rFonts w:ascii="Verdana" w:hAnsi="Verdana"/>
          <w:color w:val="000000"/>
          <w:sz w:val="18"/>
          <w:szCs w:val="18"/>
          <w:vertAlign w:val="subscript"/>
        </w:rPr>
        <w:t>e</w:t>
      </w:r>
      <w:proofErr w:type="spellEnd"/>
      <w:r>
        <w:rPr>
          <w:rFonts w:ascii="Verdana" w:hAnsi="Verdana"/>
          <w:color w:val="000000"/>
          <w:sz w:val="18"/>
          <w:szCs w:val="18"/>
        </w:rPr>
        <w:t>). Equation 15–9 represents the present value of a firm that has dividends that are expected to increase annually at a fixed rate (g) and Equation 15–10 is the equity cost of capital implied by the previous equation, i.e., the cost of equity capital implied by the dividend valuation model.</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(15-11)</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f</m:t>
            </m:r>
          </m:sub>
        </m:sSub>
        <m:r>
          <w:rPr>
            <w:rFonts w:ascii="Cambria Math" w:hAnsi="Cambria Math"/>
            <w:color w:val="000000"/>
            <w:sz w:val="22"/>
            <w:szCs w:val="18"/>
          </w:rPr>
          <m:t>+β</m:t>
        </m:r>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m</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f</m:t>
                </m:r>
              </m:sub>
            </m:sSub>
          </m:e>
        </m:d>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15–11 defines the equity cost of capital according to the capital asset pricing model (CAPM) in terms of the risk-free rate of return (</w:t>
      </w:r>
      <w:proofErr w:type="spellStart"/>
      <w:proofErr w:type="gramStart"/>
      <w:r>
        <w:rPr>
          <w:rFonts w:ascii="Verdana" w:hAnsi="Verdana"/>
          <w:color w:val="000000"/>
          <w:sz w:val="18"/>
          <w:szCs w:val="18"/>
        </w:rPr>
        <w:t>r</w:t>
      </w:r>
      <w:r>
        <w:rPr>
          <w:rFonts w:ascii="Verdana" w:hAnsi="Verdana"/>
          <w:color w:val="000000"/>
          <w:sz w:val="18"/>
          <w:szCs w:val="18"/>
          <w:vertAlign w:val="subscript"/>
        </w:rPr>
        <w:t>f</w:t>
      </w:r>
      <w:proofErr w:type="spellEnd"/>
      <w:proofErr w:type="gramEnd"/>
      <w:r>
        <w:rPr>
          <w:rFonts w:ascii="Verdana" w:hAnsi="Verdana"/>
          <w:color w:val="000000"/>
          <w:sz w:val="18"/>
          <w:szCs w:val="18"/>
        </w:rPr>
        <w:t>), the average return on all common stocks (K</w:t>
      </w:r>
      <w:r>
        <w:rPr>
          <w:rFonts w:ascii="Verdana" w:hAnsi="Verdana"/>
          <w:color w:val="000000"/>
          <w:sz w:val="18"/>
          <w:szCs w:val="18"/>
          <w:vertAlign w:val="subscript"/>
        </w:rPr>
        <w:t>m</w:t>
      </w:r>
      <w:r>
        <w:rPr>
          <w:rFonts w:ascii="Verdana" w:hAnsi="Verdana"/>
          <w:color w:val="000000"/>
          <w:sz w:val="18"/>
          <w:szCs w:val="18"/>
        </w:rPr>
        <w:t>), and the beta coefficient (ß). The beta coefficient is a measure of the risk differential between the common stock of the firm and the common stock of all firms.</w:t>
      </w:r>
    </w:p>
    <w:p w:rsidR="00184082" w:rsidRDefault="00184082" w:rsidP="00184082">
      <w:pPr>
        <w:pStyle w:val="NormalWeb"/>
        <w:shd w:val="clear" w:color="auto" w:fill="FFFFFF"/>
        <w:rPr>
          <w:rFonts w:ascii="Verdana" w:hAnsi="Verdana"/>
          <w:color w:val="000000"/>
          <w:sz w:val="18"/>
          <w:szCs w:val="18"/>
        </w:rPr>
      </w:pPr>
      <w:r>
        <w:rPr>
          <w:rFonts w:ascii="Verdana" w:hAnsi="Verdana"/>
          <w:iCs/>
          <w:color w:val="000000"/>
          <w:sz w:val="18"/>
          <w:szCs w:val="18"/>
        </w:rPr>
        <w:t>(15-12)</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c</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w</m:t>
            </m:r>
          </m:e>
          <m:sub>
            <m:r>
              <w:rPr>
                <w:rFonts w:ascii="Cambria Math" w:hAnsi="Cambria Math"/>
                <w:color w:val="000000"/>
                <w:sz w:val="22"/>
                <w:szCs w:val="18"/>
              </w:rPr>
              <m:t>d</m:t>
            </m:r>
          </m:sub>
        </m:sSub>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d</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w</m:t>
            </m:r>
          </m:e>
          <m:sub>
            <m:r>
              <w:rPr>
                <w:rFonts w:ascii="Cambria Math" w:hAnsi="Cambria Math"/>
                <w:color w:val="000000"/>
                <w:sz w:val="22"/>
                <w:szCs w:val="18"/>
              </w:rPr>
              <m:t>e</m:t>
            </m:r>
          </m:sub>
        </m:sSub>
        <m:sSub>
          <m:sSubPr>
            <m:ctrlPr>
              <w:rPr>
                <w:rFonts w:ascii="Cambria Math" w:hAnsi="Cambria Math"/>
                <w:i/>
                <w:iCs/>
                <w:color w:val="000000"/>
                <w:sz w:val="22"/>
                <w:szCs w:val="18"/>
              </w:rPr>
            </m:ctrlPr>
          </m:sSubPr>
          <m:e>
            <m:r>
              <w:rPr>
                <w:rFonts w:ascii="Cambria Math" w:hAnsi="Cambria Math"/>
                <w:color w:val="000000"/>
                <w:sz w:val="22"/>
                <w:szCs w:val="18"/>
              </w:rPr>
              <m:t>k</m:t>
            </m:r>
          </m:e>
          <m:sub>
            <m:r>
              <w:rPr>
                <w:rFonts w:ascii="Cambria Math" w:hAnsi="Cambria Math"/>
                <w:color w:val="000000"/>
                <w:sz w:val="22"/>
                <w:szCs w:val="18"/>
              </w:rPr>
              <m:t>e</m:t>
            </m:r>
          </m:sub>
        </m:sSub>
      </m:oMath>
    </w:p>
    <w:p w:rsidR="00184082" w:rsidRDefault="00184082" w:rsidP="00184082">
      <w:pPr>
        <w:pStyle w:val="NormalWeb"/>
        <w:shd w:val="clear" w:color="auto" w:fill="FFFFFF"/>
        <w:rPr>
          <w:rFonts w:ascii="Verdana" w:hAnsi="Verdana"/>
          <w:color w:val="000000"/>
          <w:sz w:val="18"/>
          <w:szCs w:val="18"/>
        </w:rPr>
      </w:pPr>
      <w:r>
        <w:rPr>
          <w:rFonts w:ascii="Verdana" w:hAnsi="Verdana"/>
          <w:color w:val="000000"/>
          <w:sz w:val="18"/>
          <w:szCs w:val="18"/>
        </w:rPr>
        <w:t>Equation 15–12 defines the weighted or composite cost of capital (</w:t>
      </w:r>
      <w:proofErr w:type="spellStart"/>
      <w:r>
        <w:rPr>
          <w:rFonts w:ascii="Verdana" w:hAnsi="Verdana"/>
          <w:color w:val="000000"/>
          <w:sz w:val="18"/>
          <w:szCs w:val="18"/>
        </w:rPr>
        <w:t>k</w:t>
      </w:r>
      <w:r>
        <w:rPr>
          <w:rFonts w:ascii="Verdana" w:hAnsi="Verdana"/>
          <w:color w:val="000000"/>
          <w:sz w:val="18"/>
          <w:szCs w:val="18"/>
          <w:vertAlign w:val="subscript"/>
        </w:rPr>
        <w:t>c</w:t>
      </w:r>
      <w:proofErr w:type="spellEnd"/>
      <w:r>
        <w:rPr>
          <w:rFonts w:ascii="Verdana" w:hAnsi="Verdana"/>
          <w:color w:val="000000"/>
          <w:sz w:val="18"/>
          <w:szCs w:val="18"/>
        </w:rPr>
        <w:t>) in terms of the proportion of debt capital (</w:t>
      </w:r>
      <w:proofErr w:type="spellStart"/>
      <w:proofErr w:type="gramStart"/>
      <w:r>
        <w:rPr>
          <w:rFonts w:ascii="Verdana" w:hAnsi="Verdana"/>
          <w:color w:val="000000"/>
          <w:sz w:val="18"/>
          <w:szCs w:val="18"/>
        </w:rPr>
        <w:t>w</w:t>
      </w:r>
      <w:r>
        <w:rPr>
          <w:rFonts w:ascii="Verdana" w:hAnsi="Verdana"/>
          <w:color w:val="000000"/>
          <w:sz w:val="18"/>
          <w:szCs w:val="18"/>
          <w:vertAlign w:val="subscript"/>
        </w:rPr>
        <w:t>d</w:t>
      </w:r>
      <w:proofErr w:type="spellEnd"/>
      <w:proofErr w:type="gramEnd"/>
      <w:r>
        <w:rPr>
          <w:rFonts w:ascii="Verdana" w:hAnsi="Verdana"/>
          <w:color w:val="000000"/>
          <w:sz w:val="18"/>
          <w:szCs w:val="18"/>
        </w:rPr>
        <w:t>), the cost of debt capital (</w:t>
      </w:r>
      <w:proofErr w:type="spellStart"/>
      <w:r>
        <w:rPr>
          <w:rFonts w:ascii="Verdana" w:hAnsi="Verdana"/>
          <w:color w:val="000000"/>
          <w:sz w:val="18"/>
          <w:szCs w:val="18"/>
        </w:rPr>
        <w:t>k</w:t>
      </w:r>
      <w:r>
        <w:rPr>
          <w:rFonts w:ascii="Verdana" w:hAnsi="Verdana"/>
          <w:color w:val="000000"/>
          <w:sz w:val="18"/>
          <w:szCs w:val="18"/>
          <w:vertAlign w:val="subscript"/>
        </w:rPr>
        <w:t>d</w:t>
      </w:r>
      <w:proofErr w:type="spellEnd"/>
      <w:r>
        <w:rPr>
          <w:rFonts w:ascii="Verdana" w:hAnsi="Verdana"/>
          <w:color w:val="000000"/>
          <w:sz w:val="18"/>
          <w:szCs w:val="18"/>
        </w:rPr>
        <w:t>), the proportion of equity capital (w</w:t>
      </w:r>
      <w:r>
        <w:rPr>
          <w:rFonts w:ascii="Verdana" w:hAnsi="Verdana"/>
          <w:color w:val="000000"/>
          <w:sz w:val="18"/>
          <w:szCs w:val="18"/>
          <w:vertAlign w:val="subscript"/>
        </w:rPr>
        <w:t>e</w:t>
      </w:r>
      <w:r>
        <w:rPr>
          <w:rFonts w:ascii="Verdana" w:hAnsi="Verdana"/>
          <w:color w:val="000000"/>
          <w:sz w:val="18"/>
          <w:szCs w:val="18"/>
        </w:rPr>
        <w:t>), and the cost of equity capital (</w:t>
      </w:r>
      <w:proofErr w:type="spellStart"/>
      <w:r>
        <w:rPr>
          <w:rFonts w:ascii="Verdana" w:hAnsi="Verdana"/>
          <w:color w:val="000000"/>
          <w:sz w:val="18"/>
          <w:szCs w:val="18"/>
        </w:rPr>
        <w:t>k</w:t>
      </w:r>
      <w:r>
        <w:rPr>
          <w:rFonts w:ascii="Verdana" w:hAnsi="Verdana"/>
          <w:color w:val="000000"/>
          <w:sz w:val="18"/>
          <w:szCs w:val="18"/>
          <w:vertAlign w:val="subscript"/>
        </w:rPr>
        <w:t>e</w:t>
      </w:r>
      <w:proofErr w:type="spellEnd"/>
      <w:r>
        <w:rPr>
          <w:rFonts w:ascii="Verdana" w:hAnsi="Verdana"/>
          <w:color w:val="000000"/>
          <w:sz w:val="18"/>
          <w:szCs w:val="18"/>
        </w:rPr>
        <w:t>).</w:t>
      </w:r>
    </w:p>
    <w:p w:rsidR="00B7137F" w:rsidRDefault="00B7137F"/>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082"/>
    <w:rsid w:val="00184082"/>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40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8408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08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84082"/>
    <w:rPr>
      <w:rFonts w:ascii="Times New Roman" w:eastAsia="Times New Roman" w:hAnsi="Times New Roman" w:cs="Times New Roman"/>
      <w:b/>
      <w:bCs/>
      <w:sz w:val="36"/>
      <w:szCs w:val="36"/>
    </w:rPr>
  </w:style>
  <w:style w:type="paragraph" w:styleId="NormalWeb">
    <w:name w:val="Normal (Web)"/>
    <w:basedOn w:val="Normal"/>
    <w:uiPriority w:val="99"/>
    <w:unhideWhenUsed/>
    <w:rsid w:val="0018408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840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0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40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8408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08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84082"/>
    <w:rPr>
      <w:rFonts w:ascii="Times New Roman" w:eastAsia="Times New Roman" w:hAnsi="Times New Roman" w:cs="Times New Roman"/>
      <w:b/>
      <w:bCs/>
      <w:sz w:val="36"/>
      <w:szCs w:val="36"/>
    </w:rPr>
  </w:style>
  <w:style w:type="paragraph" w:styleId="NormalWeb">
    <w:name w:val="Normal (Web)"/>
    <w:basedOn w:val="Normal"/>
    <w:uiPriority w:val="99"/>
    <w:unhideWhenUsed/>
    <w:rsid w:val="0018408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840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0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2018-08-24T19:15:00Z</dcterms:created>
  <dcterms:modified xsi:type="dcterms:W3CDTF">2018-08-24T19:15:00Z</dcterms:modified>
</cp:coreProperties>
</file>