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80D" w:rsidRDefault="00B9380D" w:rsidP="00B9380D">
      <w:pPr>
        <w:pStyle w:val="Heading1"/>
      </w:pPr>
      <w:bookmarkStart w:id="0" w:name="_GoBack"/>
      <w:bookmarkEnd w:id="0"/>
      <w:r>
        <w:t>Chapter Twelve</w:t>
      </w:r>
    </w:p>
    <w:p w:rsidR="00B9380D" w:rsidRDefault="00B9380D" w:rsidP="00B9380D">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B9380D" w:rsidRDefault="00B9380D" w:rsidP="00B9380D">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 xml:space="preserve">The theoretical models of market structure that were presented in the previous two chapters assume that firms produce a single product on a single market and that the circumstances that determine optimal behavior are precisely known. While </w:t>
      </w:r>
      <w:proofErr w:type="gramStart"/>
      <w:r>
        <w:rPr>
          <w:rFonts w:ascii="Verdana" w:hAnsi="Verdana"/>
          <w:color w:val="000000"/>
          <w:sz w:val="18"/>
          <w:szCs w:val="18"/>
        </w:rPr>
        <w:t>a knowledge</w:t>
      </w:r>
      <w:proofErr w:type="gramEnd"/>
      <w:r>
        <w:rPr>
          <w:rFonts w:ascii="Verdana" w:hAnsi="Verdana"/>
          <w:color w:val="000000"/>
          <w:sz w:val="18"/>
          <w:szCs w:val="18"/>
        </w:rPr>
        <w:t xml:space="preserve"> of these models is fundamental to the understanding of the behavior of firms in a market economy, actual pricing practices must contend with additional complexities which are addressed in this chapter. When you have completed a careful study of this chapter, you should understand the ways in which firms maximize profits when they engage in the production of multiple products that are interdependent in terms of production costs and demand, how firms can employ price discrimination to enhance their profitability, how firms with semiautonomous divisions employ transfer pricing as part of their overall profit maximization strategy, and how information about the price elasticity of demand can be used to determine the optimal markup by firms that employ cost-plus pricing.</w:t>
      </w:r>
    </w:p>
    <w:p w:rsidR="00B9380D" w:rsidRDefault="00B9380D" w:rsidP="00B9380D">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market analysis. All the necessary computations can be efficiently performed using Microsoft Excel.</w:t>
      </w:r>
    </w:p>
    <w:p w:rsidR="00B9380D" w:rsidRDefault="00B9380D" w:rsidP="00B9380D">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B9380D" w:rsidRPr="006A51C3"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A</m:t>
            </m:r>
          </m:sub>
        </m:sSub>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A</m:t>
                </m:r>
              </m:sub>
            </m:sSub>
          </m:num>
          <m:den>
            <m:r>
              <m:rPr>
                <m:sty m:val="p"/>
              </m:rPr>
              <w:rPr>
                <w:rFonts w:ascii="Cambria Math" w:hAnsi="Cambria Math"/>
                <w:color w:val="000000"/>
                <w:sz w:val="22"/>
                <w:szCs w:val="18"/>
              </w:rPr>
              <m:t>Δ</m:t>
            </m:r>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A</m:t>
                </m:r>
              </m:sub>
            </m:sSub>
          </m:den>
        </m:f>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B</m:t>
                </m:r>
              </m:sub>
            </m:sSub>
          </m:num>
          <m:den>
            <m:r>
              <m:rPr>
                <m:sty m:val="p"/>
              </m:rPr>
              <w:rPr>
                <w:rFonts w:ascii="Cambria Math" w:hAnsi="Cambria Math"/>
                <w:color w:val="000000"/>
                <w:sz w:val="22"/>
                <w:szCs w:val="18"/>
              </w:rPr>
              <m:t>Δ</m:t>
            </m:r>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A</m:t>
                </m:r>
              </m:sub>
            </m:sSub>
          </m:den>
        </m:f>
      </m:oMath>
    </w:p>
    <w:p w:rsidR="00B9380D"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B</m:t>
            </m:r>
          </m:sub>
        </m:sSub>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B</m:t>
                </m:r>
              </m:sub>
            </m:sSub>
          </m:num>
          <m:den>
            <m:r>
              <m:rPr>
                <m:sty m:val="p"/>
              </m:rPr>
              <w:rPr>
                <w:rFonts w:ascii="Cambria Math" w:hAnsi="Cambria Math"/>
                <w:color w:val="000000"/>
                <w:sz w:val="22"/>
                <w:szCs w:val="18"/>
              </w:rPr>
              <m:t>Δ</m:t>
            </m:r>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B</m:t>
                </m:r>
              </m:sub>
            </m:sSub>
          </m:den>
        </m:f>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A</m:t>
                </m:r>
              </m:sub>
            </m:sSub>
          </m:num>
          <m:den>
            <m:r>
              <m:rPr>
                <m:sty m:val="p"/>
              </m:rPr>
              <w:rPr>
                <w:rFonts w:ascii="Cambria Math" w:hAnsi="Cambria Math"/>
                <w:color w:val="000000"/>
                <w:sz w:val="22"/>
                <w:szCs w:val="18"/>
              </w:rPr>
              <m:t>Δ</m:t>
            </m:r>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A</m:t>
                </m:r>
              </m:sub>
            </m:sSub>
          </m:den>
        </m:f>
      </m:oMath>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Equations 12–1 and 12–2 are mathematical expressions that define the marginal revenue for product A (MR</w:t>
      </w:r>
      <w:r>
        <w:rPr>
          <w:rFonts w:ascii="Verdana" w:hAnsi="Verdana"/>
          <w:color w:val="000000"/>
          <w:sz w:val="18"/>
          <w:szCs w:val="18"/>
          <w:vertAlign w:val="subscript"/>
        </w:rPr>
        <w:t>A</w:t>
      </w:r>
      <w:r>
        <w:rPr>
          <w:rFonts w:ascii="Verdana" w:hAnsi="Verdana"/>
          <w:color w:val="000000"/>
          <w:sz w:val="18"/>
          <w:szCs w:val="18"/>
        </w:rPr>
        <w:t>) and for product B (MR</w:t>
      </w:r>
      <w:r>
        <w:rPr>
          <w:rFonts w:ascii="Verdana" w:hAnsi="Verdana"/>
          <w:color w:val="000000"/>
          <w:sz w:val="18"/>
          <w:szCs w:val="18"/>
          <w:vertAlign w:val="subscript"/>
        </w:rPr>
        <w:t>B</w:t>
      </w:r>
      <w:r>
        <w:rPr>
          <w:rFonts w:ascii="Verdana" w:hAnsi="Verdana"/>
          <w:color w:val="000000"/>
          <w:sz w:val="18"/>
          <w:szCs w:val="18"/>
        </w:rPr>
        <w:t>) when the two goods are produced by the same firm and the demand functions for the two goods are interdependent. Equation 12–1 defines MRA as the sum of the change in total revenue from the sale of A (TR</w:t>
      </w:r>
      <w:r>
        <w:rPr>
          <w:rFonts w:ascii="Verdana" w:hAnsi="Verdana"/>
          <w:color w:val="000000"/>
          <w:sz w:val="18"/>
          <w:szCs w:val="18"/>
          <w:vertAlign w:val="subscript"/>
        </w:rPr>
        <w:t>A</w:t>
      </w:r>
      <w:r>
        <w:rPr>
          <w:rFonts w:ascii="Verdana" w:hAnsi="Verdana"/>
          <w:color w:val="000000"/>
          <w:sz w:val="18"/>
          <w:szCs w:val="18"/>
        </w:rPr>
        <w:t>) divided by the corresponding change in the quantity of A (Q</w:t>
      </w:r>
      <w:r>
        <w:rPr>
          <w:rFonts w:ascii="Verdana" w:hAnsi="Verdana"/>
          <w:color w:val="000000"/>
          <w:sz w:val="18"/>
          <w:szCs w:val="18"/>
          <w:vertAlign w:val="subscript"/>
        </w:rPr>
        <w:t>A</w:t>
      </w:r>
      <w:r>
        <w:rPr>
          <w:rFonts w:ascii="Verdana" w:hAnsi="Verdana"/>
          <w:color w:val="000000"/>
          <w:sz w:val="18"/>
          <w:szCs w:val="18"/>
        </w:rPr>
        <w:t>) plus the change in total revenue from the sale of B (TR</w:t>
      </w:r>
      <w:r>
        <w:rPr>
          <w:rFonts w:ascii="Verdana" w:hAnsi="Verdana"/>
          <w:color w:val="000000"/>
          <w:sz w:val="18"/>
          <w:szCs w:val="18"/>
          <w:vertAlign w:val="subscript"/>
        </w:rPr>
        <w:t>B</w:t>
      </w:r>
      <w:r>
        <w:rPr>
          <w:rFonts w:ascii="Verdana" w:hAnsi="Verdana"/>
          <w:color w:val="000000"/>
          <w:sz w:val="18"/>
          <w:szCs w:val="18"/>
        </w:rPr>
        <w:t>) divided by the corresponding change in the quantity of A (Q</w:t>
      </w:r>
      <w:r>
        <w:rPr>
          <w:rFonts w:ascii="Verdana" w:hAnsi="Verdana"/>
          <w:color w:val="000000"/>
          <w:sz w:val="18"/>
          <w:szCs w:val="18"/>
          <w:vertAlign w:val="subscript"/>
        </w:rPr>
        <w:t>A</w:t>
      </w:r>
      <w:r>
        <w:rPr>
          <w:rFonts w:ascii="Verdana" w:hAnsi="Verdana"/>
          <w:color w:val="000000"/>
          <w:sz w:val="18"/>
          <w:szCs w:val="18"/>
        </w:rPr>
        <w:t>). Equation 12–2 defines MR</w:t>
      </w:r>
      <w:r>
        <w:rPr>
          <w:rFonts w:ascii="Verdana" w:hAnsi="Verdana"/>
          <w:color w:val="000000"/>
          <w:sz w:val="18"/>
          <w:szCs w:val="18"/>
          <w:vertAlign w:val="subscript"/>
        </w:rPr>
        <w:t>B</w:t>
      </w:r>
      <w:r>
        <w:rPr>
          <w:rFonts w:ascii="Verdana" w:hAnsi="Verdana"/>
          <w:color w:val="000000"/>
          <w:sz w:val="18"/>
          <w:szCs w:val="18"/>
        </w:rPr>
        <w:t> as the sum of the change in total revenue from the sale of B (TR</w:t>
      </w:r>
      <w:r>
        <w:rPr>
          <w:rFonts w:ascii="Verdana" w:hAnsi="Verdana"/>
          <w:color w:val="000000"/>
          <w:sz w:val="18"/>
          <w:szCs w:val="18"/>
          <w:vertAlign w:val="subscript"/>
        </w:rPr>
        <w:t>B</w:t>
      </w:r>
      <w:r>
        <w:rPr>
          <w:rFonts w:ascii="Verdana" w:hAnsi="Verdana"/>
          <w:color w:val="000000"/>
          <w:sz w:val="18"/>
          <w:szCs w:val="18"/>
        </w:rPr>
        <w:t>) divided by the corresponding change in the quantity of B (Q</w:t>
      </w:r>
      <w:r>
        <w:rPr>
          <w:rFonts w:ascii="Verdana" w:hAnsi="Verdana"/>
          <w:color w:val="000000"/>
          <w:sz w:val="18"/>
          <w:szCs w:val="18"/>
          <w:vertAlign w:val="subscript"/>
        </w:rPr>
        <w:t>B</w:t>
      </w:r>
      <w:r>
        <w:rPr>
          <w:rFonts w:ascii="Verdana" w:hAnsi="Verdana"/>
          <w:color w:val="000000"/>
          <w:sz w:val="18"/>
          <w:szCs w:val="18"/>
        </w:rPr>
        <w:t>) plus the change in total revenue from the sale of A (TR</w:t>
      </w:r>
      <w:r>
        <w:rPr>
          <w:rFonts w:ascii="Verdana" w:hAnsi="Verdana"/>
          <w:color w:val="000000"/>
          <w:sz w:val="18"/>
          <w:szCs w:val="18"/>
          <w:vertAlign w:val="subscript"/>
        </w:rPr>
        <w:t>A</w:t>
      </w:r>
      <w:r>
        <w:rPr>
          <w:rFonts w:ascii="Verdana" w:hAnsi="Verdana"/>
          <w:color w:val="000000"/>
          <w:sz w:val="18"/>
          <w:szCs w:val="18"/>
        </w:rPr>
        <w:t>) divided by the corresponding change in the quantity of B (Q</w:t>
      </w:r>
      <w:r>
        <w:rPr>
          <w:rFonts w:ascii="Verdana" w:hAnsi="Verdana"/>
          <w:color w:val="000000"/>
          <w:sz w:val="18"/>
          <w:szCs w:val="18"/>
          <w:vertAlign w:val="subscript"/>
        </w:rPr>
        <w:t>B</w:t>
      </w:r>
      <w:r>
        <w:rPr>
          <w:rFonts w:ascii="Verdana" w:hAnsi="Verdana"/>
          <w:color w:val="000000"/>
          <w:sz w:val="18"/>
          <w:szCs w:val="18"/>
        </w:rPr>
        <w:t>). Note that the second term in each of these two equations would be equal to zero if the demand functions for the two goods were independent.</w:t>
      </w:r>
    </w:p>
    <w:p w:rsidR="00B9380D" w:rsidRPr="00D15136" w:rsidRDefault="00B9380D" w:rsidP="00B9380D">
      <w:pPr>
        <w:pStyle w:val="NormalWeb"/>
        <w:shd w:val="clear" w:color="auto" w:fill="FFFFFF"/>
        <w:rPr>
          <w:rFonts w:ascii="Verdana" w:hAnsi="Verdana"/>
          <w:color w:val="000000"/>
          <w:sz w:val="22"/>
          <w:szCs w:val="18"/>
        </w:rPr>
      </w:pPr>
      <w:r>
        <w:rPr>
          <w:rFonts w:ascii="Verdana" w:hAnsi="Verdana"/>
          <w:iCs/>
          <w:color w:val="000000"/>
          <w:sz w:val="18"/>
          <w:szCs w:val="18"/>
        </w:rPr>
        <w:t>(12-3)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m:t>
        </m:r>
        <m:f>
          <m:fPr>
            <m:ctrlPr>
              <w:rPr>
                <w:rFonts w:ascii="Cambria Math" w:hAnsi="Cambria Math"/>
                <w:i/>
                <w:iCs/>
                <w:color w:val="000000"/>
                <w:sz w:val="22"/>
                <w:szCs w:val="18"/>
              </w:rPr>
            </m:ctrlPr>
          </m:fPr>
          <m:num>
            <m:r>
              <m:rPr>
                <m:sty m:val="p"/>
              </m:rPr>
              <w:rPr>
                <w:rFonts w:ascii="Cambria Math" w:hAnsi="Cambria Math"/>
                <w:color w:val="000000"/>
                <w:sz w:val="22"/>
                <w:szCs w:val="18"/>
              </w:rPr>
              <m:t>P-C</m:t>
            </m:r>
          </m:num>
          <m:den>
            <m:r>
              <m:rPr>
                <m:sty m:val="p"/>
              </m:rPr>
              <w:rPr>
                <w:rFonts w:ascii="Cambria Math" w:hAnsi="Cambria Math"/>
                <w:color w:val="000000"/>
                <w:sz w:val="22"/>
                <w:szCs w:val="18"/>
              </w:rPr>
              <m:t>C</m:t>
            </m:r>
          </m:den>
        </m:f>
      </m:oMath>
    </w:p>
    <w:p w:rsidR="00B9380D"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(12-4)</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P=C</m:t>
        </m:r>
        <m:d>
          <m:dPr>
            <m:ctrlPr>
              <w:rPr>
                <w:rFonts w:ascii="Cambria Math" w:hAnsi="Cambria Math"/>
                <w:i/>
                <w:iCs/>
                <w:color w:val="000000"/>
                <w:sz w:val="22"/>
                <w:szCs w:val="18"/>
              </w:rPr>
            </m:ctrlPr>
          </m:dPr>
          <m:e>
            <m:r>
              <w:rPr>
                <w:rFonts w:ascii="Cambria Math" w:hAnsi="Cambria Math"/>
                <w:color w:val="000000"/>
                <w:sz w:val="22"/>
                <w:szCs w:val="18"/>
              </w:rPr>
              <m:t>1+m</m:t>
            </m:r>
          </m:e>
        </m:d>
      </m:oMath>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Equations 12–3 and 12–4 define the relationship between the markup on cost (m), the cost-plus price (P), and the fully allocated average cost (C).</w:t>
      </w:r>
    </w:p>
    <w:p w:rsidR="00B9380D" w:rsidRPr="006A51C3"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MR=P</m:t>
        </m:r>
        <m:d>
          <m:dPr>
            <m:ctrlPr>
              <w:rPr>
                <w:rFonts w:ascii="Cambria Math" w:hAnsi="Cambria Math"/>
                <w:i/>
                <w:iCs/>
                <w:color w:val="000000"/>
                <w:sz w:val="22"/>
                <w:szCs w:val="18"/>
              </w:rPr>
            </m:ctrlPr>
          </m:dPr>
          <m:e>
            <m:r>
              <w:rPr>
                <w:rFonts w:ascii="Cambria Math" w:hAnsi="Cambria Math"/>
                <w:color w:val="000000"/>
                <w:sz w:val="22"/>
                <w:szCs w:val="18"/>
              </w:rPr>
              <m:t>1+</m:t>
            </m:r>
            <m:f>
              <m:fPr>
                <m:ctrlPr>
                  <w:rPr>
                    <w:rFonts w:ascii="Cambria Math" w:hAnsi="Cambria Math"/>
                    <w:i/>
                    <w:iCs/>
                    <w:color w:val="000000"/>
                    <w:sz w:val="22"/>
                    <w:szCs w:val="18"/>
                  </w:rPr>
                </m:ctrlPr>
              </m:fPr>
              <m:num>
                <m:r>
                  <w:rPr>
                    <w:rFonts w:ascii="Cambria Math" w:hAnsi="Cambria Math"/>
                    <w:color w:val="000000"/>
                    <w:sz w:val="22"/>
                    <w:szCs w:val="18"/>
                  </w:rPr>
                  <m:t>q</m:t>
                </m:r>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den>
            </m:f>
          </m:e>
        </m:d>
      </m:oMath>
    </w:p>
    <w:p w:rsidR="00B9380D"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lastRenderedPageBreak/>
        <w:t>(12-6)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m:t>
        </m:r>
        <m:f>
          <m:fPr>
            <m:ctrlPr>
              <w:rPr>
                <w:rFonts w:ascii="Cambria Math" w:hAnsi="Cambria Math"/>
                <w:i/>
                <w:iCs/>
                <w:color w:val="000000"/>
                <w:sz w:val="22"/>
                <w:szCs w:val="18"/>
              </w:rPr>
            </m:ctrlPr>
          </m:fPr>
          <m:num>
            <m:r>
              <w:rPr>
                <w:rFonts w:ascii="Cambria Math" w:hAnsi="Cambria Math"/>
                <w:color w:val="000000"/>
                <w:sz w:val="22"/>
                <w:szCs w:val="18"/>
              </w:rPr>
              <m:t>MR</m:t>
            </m:r>
          </m:num>
          <m:den>
            <m:r>
              <w:rPr>
                <w:rFonts w:ascii="Cambria Math" w:hAnsi="Cambria Math"/>
                <w:color w:val="000000"/>
                <w:sz w:val="22"/>
                <w:szCs w:val="18"/>
              </w:rPr>
              <m:t>1+</m:t>
            </m:r>
            <m:f>
              <m:fPr>
                <m:type m:val="lin"/>
                <m:ctrlPr>
                  <w:rPr>
                    <w:rFonts w:ascii="Cambria Math" w:hAnsi="Cambria Math"/>
                    <w:i/>
                    <w:iCs/>
                    <w:color w:val="000000"/>
                    <w:sz w:val="22"/>
                    <w:szCs w:val="18"/>
                  </w:rPr>
                </m:ctrlPr>
              </m:fPr>
              <m:num>
                <m:r>
                  <w:rPr>
                    <w:rFonts w:ascii="Cambria Math" w:hAnsi="Cambria Math"/>
                    <w:color w:val="000000"/>
                    <w:sz w:val="22"/>
                    <w:szCs w:val="18"/>
                  </w:rPr>
                  <m:t>1</m:t>
                </m:r>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den>
            </m:f>
          </m:den>
        </m:f>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MR</m:t>
            </m:r>
          </m:num>
          <m:den>
            <m:f>
              <m:fPr>
                <m:type m:val="lin"/>
                <m:ctrlPr>
                  <w:rPr>
                    <w:rFonts w:ascii="Cambria Math" w:hAnsi="Cambria Math"/>
                    <w:i/>
                    <w:iCs/>
                    <w:color w:val="000000"/>
                    <w:sz w:val="22"/>
                    <w:szCs w:val="18"/>
                  </w:rPr>
                </m:ctrlPr>
              </m:fPr>
              <m:num>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+1</m:t>
                    </m:r>
                  </m:e>
                </m:d>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den>
            </m:f>
          </m:den>
        </m:f>
        <m:r>
          <w:rPr>
            <w:rFonts w:ascii="Cambria Math" w:hAnsi="Cambria Math"/>
            <w:color w:val="000000"/>
            <w:sz w:val="22"/>
            <w:szCs w:val="18"/>
          </w:rPr>
          <m:t>=MR</m:t>
        </m:r>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+1</m:t>
            </m:r>
          </m:den>
        </m:f>
      </m:oMath>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Equations 12–5 and 12–6 define the relationship between marginal revenue (MR), price (P), and the price elasticity of demand (E</w:t>
      </w:r>
      <w:r>
        <w:rPr>
          <w:rFonts w:ascii="Verdana" w:hAnsi="Verdana"/>
          <w:color w:val="000000"/>
          <w:sz w:val="18"/>
          <w:szCs w:val="18"/>
          <w:vertAlign w:val="subscript"/>
        </w:rPr>
        <w:t>P</w:t>
      </w:r>
      <w:r>
        <w:rPr>
          <w:rFonts w:ascii="Verdana" w:hAnsi="Verdana"/>
          <w:color w:val="000000"/>
          <w:sz w:val="18"/>
          <w:szCs w:val="18"/>
        </w:rPr>
        <w:t>).</w:t>
      </w:r>
    </w:p>
    <w:p w:rsidR="00B9380D" w:rsidRPr="006A51C3"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(12-7)</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P=C</m:t>
        </m:r>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+1</m:t>
            </m:r>
          </m:den>
        </m:f>
      </m:oMath>
    </w:p>
    <w:p w:rsidR="00B9380D" w:rsidRDefault="00B9380D" w:rsidP="00B9380D">
      <w:pPr>
        <w:pStyle w:val="NormalWeb"/>
        <w:shd w:val="clear" w:color="auto" w:fill="FFFFFF"/>
        <w:rPr>
          <w:rFonts w:ascii="Verdana" w:hAnsi="Verdana"/>
          <w:color w:val="000000"/>
          <w:sz w:val="18"/>
          <w:szCs w:val="18"/>
        </w:rPr>
      </w:pPr>
      <w:r>
        <w:rPr>
          <w:rFonts w:ascii="Verdana" w:hAnsi="Verdana"/>
          <w:iCs/>
          <w:color w:val="000000"/>
          <w:sz w:val="18"/>
          <w:szCs w:val="18"/>
        </w:rPr>
        <w:t>(12-8)</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m:t>
        </m:r>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num>
          <m:den>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+1</m:t>
            </m:r>
          </m:den>
        </m:f>
        <m:r>
          <w:rPr>
            <w:rFonts w:ascii="Cambria Math" w:hAnsi="Cambria Math"/>
            <w:color w:val="000000"/>
            <w:sz w:val="22"/>
            <w:szCs w:val="18"/>
          </w:rPr>
          <m:t>-1</m:t>
        </m:r>
      </m:oMath>
    </w:p>
    <w:p w:rsidR="00B9380D" w:rsidRDefault="00B9380D" w:rsidP="00B9380D">
      <w:pPr>
        <w:pStyle w:val="NormalWeb"/>
        <w:shd w:val="clear" w:color="auto" w:fill="FFFFFF"/>
        <w:rPr>
          <w:rFonts w:ascii="Verdana" w:hAnsi="Verdana"/>
          <w:color w:val="000000"/>
          <w:sz w:val="18"/>
          <w:szCs w:val="18"/>
        </w:rPr>
      </w:pPr>
      <w:r>
        <w:rPr>
          <w:rFonts w:ascii="Verdana" w:hAnsi="Verdana"/>
          <w:color w:val="000000"/>
          <w:sz w:val="18"/>
          <w:szCs w:val="18"/>
        </w:rPr>
        <w:t>Equation 12–7 defines the optimal cost-plus price (P) as a function of the fully-allocated average cost (C), and the price elasticity of demand (E</w:t>
      </w:r>
      <w:r>
        <w:rPr>
          <w:rFonts w:ascii="Verdana" w:hAnsi="Verdana"/>
          <w:color w:val="000000"/>
          <w:sz w:val="18"/>
          <w:szCs w:val="18"/>
          <w:vertAlign w:val="subscript"/>
        </w:rPr>
        <w:t>P</w:t>
      </w:r>
      <w:r>
        <w:rPr>
          <w:rFonts w:ascii="Verdana" w:hAnsi="Verdana"/>
          <w:color w:val="000000"/>
          <w:sz w:val="18"/>
          <w:szCs w:val="18"/>
        </w:rPr>
        <w:t>). Equation 12–8 defines the optimal markup (m) as a function of the price elasticity of demand.</w:t>
      </w:r>
    </w:p>
    <w:p w:rsidR="00B7137F" w:rsidRDefault="00B7137F"/>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80D"/>
    <w:rsid w:val="00B7137F"/>
    <w:rsid w:val="00B93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938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9380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380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9380D"/>
    <w:rPr>
      <w:rFonts w:ascii="Times New Roman" w:eastAsia="Times New Roman" w:hAnsi="Times New Roman" w:cs="Times New Roman"/>
      <w:b/>
      <w:bCs/>
      <w:sz w:val="36"/>
      <w:szCs w:val="36"/>
    </w:rPr>
  </w:style>
  <w:style w:type="paragraph" w:styleId="NormalWeb">
    <w:name w:val="Normal (Web)"/>
    <w:basedOn w:val="Normal"/>
    <w:uiPriority w:val="99"/>
    <w:unhideWhenUsed/>
    <w:rsid w:val="00B9380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38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38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938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9380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380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9380D"/>
    <w:rPr>
      <w:rFonts w:ascii="Times New Roman" w:eastAsia="Times New Roman" w:hAnsi="Times New Roman" w:cs="Times New Roman"/>
      <w:b/>
      <w:bCs/>
      <w:sz w:val="36"/>
      <w:szCs w:val="36"/>
    </w:rPr>
  </w:style>
  <w:style w:type="paragraph" w:styleId="NormalWeb">
    <w:name w:val="Normal (Web)"/>
    <w:basedOn w:val="Normal"/>
    <w:uiPriority w:val="99"/>
    <w:unhideWhenUsed/>
    <w:rsid w:val="00B9380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38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38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2018-08-24T18:54:00Z</dcterms:created>
  <dcterms:modified xsi:type="dcterms:W3CDTF">2018-08-24T18:55:00Z</dcterms:modified>
</cp:coreProperties>
</file>