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EB" w:rsidRDefault="000D19EB" w:rsidP="00DC5ACD">
      <w:pPr>
        <w:jc w:val="center"/>
        <w:rPr>
          <w:b/>
        </w:rPr>
      </w:pPr>
      <w:r w:rsidRPr="003E68A2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F569" wp14:editId="497AB315">
                <wp:simplePos x="0" y="0"/>
                <wp:positionH relativeFrom="column">
                  <wp:posOffset>1499870</wp:posOffset>
                </wp:positionH>
                <wp:positionV relativeFrom="paragraph">
                  <wp:posOffset>68580</wp:posOffset>
                </wp:positionV>
                <wp:extent cx="4606290" cy="13106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EB" w:rsidRPr="000D19EB" w:rsidRDefault="000D19EB" w:rsidP="000D19E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3AABDF"/>
                                <w:sz w:val="44"/>
                                <w:szCs w:val="44"/>
                              </w:rPr>
                            </w:pPr>
                            <w:r w:rsidRPr="000D19EB">
                              <w:rPr>
                                <w:rFonts w:ascii="Batang" w:eastAsia="Batang" w:hAnsi="Batang"/>
                                <w:b/>
                                <w:color w:val="3AABDF"/>
                                <w:sz w:val="44"/>
                                <w:szCs w:val="44"/>
                              </w:rPr>
                              <w:t>Evaluating the Merits of Quantitative</w:t>
                            </w:r>
                          </w:p>
                          <w:p w:rsidR="000D19EB" w:rsidRPr="003E68A2" w:rsidRDefault="000D19EB" w:rsidP="000D19E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</w:rPr>
                            </w:pPr>
                            <w:r w:rsidRPr="000D19EB">
                              <w:rPr>
                                <w:rFonts w:ascii="Batang" w:eastAsia="Batang" w:hAnsi="Batang"/>
                                <w:b/>
                                <w:color w:val="3AABDF"/>
                                <w:sz w:val="44"/>
                                <w:szCs w:val="44"/>
                              </w:rPr>
                              <w:t>Research Studies in Kinesiology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1pt;margin-top:5.4pt;width:362.7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" filled="f" stroked="f">
                <v:textbox>
                  <w:txbxContent>
                    <w:p w:rsidR="000D19EB" w:rsidRPr="000D19EB" w:rsidRDefault="000D19EB" w:rsidP="000D19E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3AABDF"/>
                          <w:sz w:val="44"/>
                          <w:szCs w:val="44"/>
                        </w:rPr>
                      </w:pPr>
                      <w:r w:rsidRPr="000D19EB">
                        <w:rPr>
                          <w:rFonts w:ascii="Batang" w:eastAsia="Batang" w:hAnsi="Batang"/>
                          <w:b/>
                          <w:color w:val="3AABDF"/>
                          <w:sz w:val="44"/>
                          <w:szCs w:val="44"/>
                        </w:rPr>
                        <w:t>Evaluating the Merits of Quantitative</w:t>
                      </w:r>
                    </w:p>
                    <w:p w:rsidR="000D19EB" w:rsidRPr="003E68A2" w:rsidRDefault="000D19EB" w:rsidP="000D19E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</w:rPr>
                      </w:pPr>
                      <w:r w:rsidRPr="000D19EB">
                        <w:rPr>
                          <w:rFonts w:ascii="Batang" w:eastAsia="Batang" w:hAnsi="Batang"/>
                          <w:b/>
                          <w:color w:val="3AABDF"/>
                          <w:sz w:val="44"/>
                          <w:szCs w:val="44"/>
                        </w:rPr>
                        <w:t>Research Studies in Kinesiology</w:t>
                      </w:r>
                    </w:p>
                  </w:txbxContent>
                </v:textbox>
              </v:shape>
            </w:pict>
          </mc:Fallback>
        </mc:AlternateContent>
      </w:r>
      <w:r w:rsidRPr="003E68A2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A29A" wp14:editId="69F7F08B">
                <wp:simplePos x="0" y="0"/>
                <wp:positionH relativeFrom="column">
                  <wp:posOffset>490220</wp:posOffset>
                </wp:positionH>
                <wp:positionV relativeFrom="paragraph">
                  <wp:posOffset>68580</wp:posOffset>
                </wp:positionV>
                <wp:extent cx="922020" cy="1163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EB" w:rsidRPr="00B03B49" w:rsidRDefault="000D19EB" w:rsidP="000D19EB">
                            <w:pPr>
                              <w:jc w:val="center"/>
                              <w:rPr>
                                <w:rFonts w:asciiTheme="majorHAnsi" w:hAnsiTheme="majorHAnsi"/>
                                <w:color w:val="58585A"/>
                                <w:sz w:val="56"/>
                              </w:rPr>
                            </w:pPr>
                            <w:r>
                              <w:rPr>
                                <w:rFonts w:ascii="Lucida Console" w:eastAsia="BatangChe" w:hAnsi="Lucida Console"/>
                                <w:b/>
                                <w:color w:val="58585A"/>
                                <w:sz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6pt;margin-top:5.4pt;width:72.6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DyCQIAAPQ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" filled="f" stroked="f">
                <v:textbox>
                  <w:txbxContent>
                    <w:p w:rsidR="000D19EB" w:rsidRPr="00B03B49" w:rsidRDefault="000D19EB" w:rsidP="000D19EB">
                      <w:pPr>
                        <w:jc w:val="center"/>
                        <w:rPr>
                          <w:rFonts w:asciiTheme="majorHAnsi" w:hAnsiTheme="majorHAnsi"/>
                          <w:color w:val="58585A"/>
                          <w:sz w:val="56"/>
                        </w:rPr>
                      </w:pPr>
                      <w:r>
                        <w:rPr>
                          <w:rFonts w:ascii="Lucida Console" w:eastAsia="BatangChe" w:hAnsi="Lucida Console"/>
                          <w:b/>
                          <w:color w:val="58585A"/>
                          <w:sz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</w:p>
    <w:p w:rsidR="000D19EB" w:rsidRDefault="000D19EB" w:rsidP="00DC5ACD">
      <w:pPr>
        <w:jc w:val="center"/>
        <w:rPr>
          <w:b/>
        </w:rPr>
      </w:pPr>
      <w:r>
        <w:rPr>
          <w:rFonts w:ascii="BatangChe" w:eastAsia="BatangChe" w:hAnsi="BatangChe"/>
          <w:noProof/>
          <w:sz w:val="44"/>
          <w:szCs w:val="44"/>
        </w:rPr>
        <w:drawing>
          <wp:inline distT="0" distB="0" distL="0" distR="0" wp14:anchorId="7C5EB3E9" wp14:editId="5828E555">
            <wp:extent cx="6003985" cy="276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4E10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 t="58041" r="23695" b="36075"/>
                    <a:stretch/>
                  </pic:blipFill>
                  <pic:spPr bwMode="auto">
                    <a:xfrm>
                      <a:off x="0" y="0"/>
                      <a:ext cx="6118390" cy="28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ACD" w:rsidRDefault="00DC5ACD" w:rsidP="00DC5ACD">
      <w:pPr>
        <w:rPr>
          <w:b/>
        </w:rPr>
      </w:pPr>
    </w:p>
    <w:p w:rsidR="000D19EB" w:rsidRDefault="000D19EB" w:rsidP="00DC5ACD">
      <w:pPr>
        <w:rPr>
          <w:b/>
        </w:rPr>
      </w:pPr>
    </w:p>
    <w:p w:rsidR="000D19EB" w:rsidRPr="009C1585" w:rsidRDefault="000D19EB" w:rsidP="000D19EB">
      <w:pPr>
        <w:rPr>
          <w:rFonts w:ascii="Batang" w:eastAsia="Batang" w:hAnsi="Batang"/>
          <w:b/>
          <w:color w:val="3AABDF"/>
          <w:sz w:val="32"/>
        </w:rPr>
      </w:pPr>
      <w:r>
        <w:rPr>
          <w:rFonts w:ascii="Batang" w:eastAsia="Batang" w:hAnsi="Batang"/>
          <w:b/>
          <w:color w:val="3AABDF"/>
          <w:sz w:val="32"/>
        </w:rPr>
        <w:t>Learning Objectives</w:t>
      </w:r>
    </w:p>
    <w:p w:rsidR="00DC5ACD" w:rsidRDefault="00DC5ACD" w:rsidP="00DC5ACD">
      <w:pPr>
        <w:rPr>
          <w:b/>
        </w:rPr>
      </w:pPr>
    </w:p>
    <w:p w:rsidR="00DC5ACD" w:rsidRPr="000D19EB" w:rsidRDefault="00DC5ACD" w:rsidP="00DC5ACD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0D19EB">
        <w:rPr>
          <w:rFonts w:ascii="Garamond" w:hAnsi="Garamond"/>
        </w:rPr>
        <w:t>Explain the concept of validity and how it is used as a standard to evaluate the quality of quantitative research studies</w:t>
      </w:r>
    </w:p>
    <w:p w:rsidR="00DC5ACD" w:rsidRPr="000D19EB" w:rsidRDefault="00DC5ACD" w:rsidP="00DC5ACD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0D19EB">
        <w:rPr>
          <w:rFonts w:ascii="Garamond" w:hAnsi="Garamond"/>
        </w:rPr>
        <w:t xml:space="preserve">Define and apply the concepts of logical, construct, internal, and external validity as they relate to kinesiology-based studies </w:t>
      </w:r>
    </w:p>
    <w:p w:rsidR="00DC5ACD" w:rsidRPr="000D19EB" w:rsidRDefault="00DC5ACD" w:rsidP="00DC5ACD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0D19EB">
        <w:rPr>
          <w:rFonts w:ascii="Garamond" w:hAnsi="Garamond"/>
        </w:rPr>
        <w:t>Describe how study design (i.e., experimental versus non-experimental) relates to each type of validity in an evaluative context</w:t>
      </w:r>
    </w:p>
    <w:p w:rsidR="00DC5ACD" w:rsidRDefault="00DC5ACD" w:rsidP="00DC5ACD">
      <w:pPr>
        <w:pStyle w:val="ListParagraph"/>
        <w:ind w:left="360"/>
        <w:rPr>
          <w:b/>
        </w:rPr>
      </w:pPr>
    </w:p>
    <w:p w:rsidR="000D19EB" w:rsidRPr="009C1585" w:rsidRDefault="000D19EB" w:rsidP="000D19EB">
      <w:pPr>
        <w:rPr>
          <w:rFonts w:ascii="Batang" w:eastAsia="Batang" w:hAnsi="Batang"/>
          <w:b/>
          <w:color w:val="3AABDF"/>
          <w:sz w:val="32"/>
        </w:rPr>
      </w:pPr>
      <w:r>
        <w:rPr>
          <w:rFonts w:ascii="Batang" w:eastAsia="Batang" w:hAnsi="Batang"/>
          <w:b/>
          <w:color w:val="3AABDF"/>
          <w:sz w:val="32"/>
        </w:rPr>
        <w:t xml:space="preserve">Activities </w:t>
      </w:r>
    </w:p>
    <w:p w:rsidR="00DC5ACD" w:rsidRDefault="00DC5ACD" w:rsidP="00DC5ACD">
      <w:pPr>
        <w:rPr>
          <w:b/>
        </w:rPr>
      </w:pPr>
    </w:p>
    <w:p w:rsidR="00DC5ACD" w:rsidRPr="00BD021E" w:rsidRDefault="00DC5ACD" w:rsidP="00DC5ACD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BD021E">
        <w:rPr>
          <w:rFonts w:ascii="Garamond" w:hAnsi="Garamond"/>
        </w:rPr>
        <w:t>You and your research team have been provided with a new “state of the art” portable lightweight tool that asses</w:t>
      </w:r>
      <w:r w:rsidR="00BD021E" w:rsidRPr="00BD021E">
        <w:rPr>
          <w:rFonts w:ascii="Garamond" w:hAnsi="Garamond"/>
        </w:rPr>
        <w:t xml:space="preserve">ses bone density – the BD3000. </w:t>
      </w:r>
      <w:r w:rsidRPr="00BD021E">
        <w:rPr>
          <w:rFonts w:ascii="Garamond" w:hAnsi="Garamond"/>
        </w:rPr>
        <w:t xml:space="preserve">Identify five ways you could evaluate the tool’s construct validity.  Provide a depiction of these tests using a </w:t>
      </w:r>
      <w:proofErr w:type="spellStart"/>
      <w:r w:rsidRPr="00BD021E">
        <w:rPr>
          <w:rFonts w:ascii="Garamond" w:hAnsi="Garamond"/>
        </w:rPr>
        <w:t>nomological</w:t>
      </w:r>
      <w:proofErr w:type="spellEnd"/>
      <w:r w:rsidRPr="00BD021E">
        <w:rPr>
          <w:rFonts w:ascii="Garamond" w:hAnsi="Garamond"/>
        </w:rPr>
        <w:t xml:space="preserve"> network (i.e., web of evidence).   </w:t>
      </w:r>
    </w:p>
    <w:p w:rsidR="00DC5ACD" w:rsidRPr="00BD021E" w:rsidRDefault="00DC5ACD" w:rsidP="00DC5ACD">
      <w:pPr>
        <w:pStyle w:val="ListParagraph"/>
        <w:ind w:left="360"/>
        <w:rPr>
          <w:rFonts w:ascii="Garamond" w:hAnsi="Garamond"/>
        </w:rPr>
      </w:pPr>
    </w:p>
    <w:p w:rsidR="00DC5ACD" w:rsidRPr="00BD021E" w:rsidRDefault="00DC5ACD" w:rsidP="00DC5ACD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BD021E">
        <w:rPr>
          <w:rFonts w:ascii="Garamond" w:hAnsi="Garamond"/>
        </w:rPr>
        <w:t>Locate a randomized controlled trial in the literature and assess the extent to which the information reported aligns with the CONSORT guidelines checklist and flow diagram.</w:t>
      </w:r>
    </w:p>
    <w:p w:rsidR="00DC5ACD" w:rsidRPr="002F0B8C" w:rsidRDefault="00DC5ACD" w:rsidP="00DC5ACD"/>
    <w:p w:rsidR="000D19EB" w:rsidRPr="009C1585" w:rsidRDefault="000D19EB" w:rsidP="000D19EB">
      <w:pPr>
        <w:rPr>
          <w:rFonts w:ascii="Batang" w:eastAsia="Batang" w:hAnsi="Batang"/>
          <w:b/>
          <w:color w:val="3AABDF"/>
          <w:sz w:val="32"/>
        </w:rPr>
      </w:pPr>
      <w:r>
        <w:rPr>
          <w:rFonts w:ascii="Batang" w:eastAsia="Batang" w:hAnsi="Batang"/>
          <w:b/>
          <w:color w:val="3AABDF"/>
          <w:sz w:val="32"/>
        </w:rPr>
        <w:t>Additional Readings and Websites</w:t>
      </w:r>
    </w:p>
    <w:p w:rsidR="00DC5ACD" w:rsidRPr="00BD021E" w:rsidRDefault="00DC5ACD" w:rsidP="00DC5ACD">
      <w:pPr>
        <w:rPr>
          <w:rFonts w:ascii="Garamond" w:hAnsi="Garamond"/>
          <w:b/>
        </w:rPr>
      </w:pPr>
    </w:p>
    <w:p w:rsidR="00DC5ACD" w:rsidRPr="00BD021E" w:rsidRDefault="00DC5ACD" w:rsidP="00DC5ACD">
      <w:pPr>
        <w:rPr>
          <w:rFonts w:ascii="Garamond" w:hAnsi="Garamond"/>
          <w:i/>
        </w:rPr>
      </w:pPr>
      <w:proofErr w:type="spellStart"/>
      <w:proofErr w:type="gramStart"/>
      <w:r w:rsidRPr="00BD021E">
        <w:rPr>
          <w:rFonts w:ascii="Garamond" w:hAnsi="Garamond"/>
        </w:rPr>
        <w:t>Amonette</w:t>
      </w:r>
      <w:proofErr w:type="spellEnd"/>
      <w:r w:rsidRPr="00BD021E">
        <w:rPr>
          <w:rFonts w:ascii="Garamond" w:hAnsi="Garamond"/>
        </w:rPr>
        <w:t>, W. E., English, K. L., &amp; Kraemer, W. J. (2017).</w:t>
      </w:r>
      <w:proofErr w:type="gramEnd"/>
      <w:r w:rsidRPr="00BD021E">
        <w:rPr>
          <w:rFonts w:ascii="Garamond" w:hAnsi="Garamond"/>
        </w:rPr>
        <w:t xml:space="preserve"> </w:t>
      </w:r>
      <w:r w:rsidRPr="00BD021E">
        <w:rPr>
          <w:rFonts w:ascii="Garamond" w:hAnsi="Garamond"/>
          <w:i/>
        </w:rPr>
        <w:t xml:space="preserve">Evidence-based practice in exercise </w:t>
      </w:r>
    </w:p>
    <w:p w:rsidR="00DC5ACD" w:rsidRPr="00BD021E" w:rsidRDefault="00DC5ACD" w:rsidP="00DC5ACD">
      <w:pPr>
        <w:ind w:firstLine="720"/>
        <w:rPr>
          <w:rFonts w:ascii="Garamond" w:hAnsi="Garamond"/>
        </w:rPr>
      </w:pPr>
      <w:proofErr w:type="gramStart"/>
      <w:r w:rsidRPr="00BD021E">
        <w:rPr>
          <w:rFonts w:ascii="Garamond" w:hAnsi="Garamond"/>
          <w:i/>
        </w:rPr>
        <w:t>science</w:t>
      </w:r>
      <w:proofErr w:type="gramEnd"/>
      <w:r w:rsidRPr="00BD021E">
        <w:rPr>
          <w:rFonts w:ascii="Garamond" w:hAnsi="Garamond"/>
          <w:i/>
        </w:rPr>
        <w:t xml:space="preserve">: The six-step approach. </w:t>
      </w:r>
      <w:r w:rsidRPr="00BD021E">
        <w:rPr>
          <w:rFonts w:ascii="Garamond" w:hAnsi="Garamond"/>
        </w:rPr>
        <w:t xml:space="preserve">Champaign, IL: Human Kinetics. </w:t>
      </w:r>
    </w:p>
    <w:p w:rsidR="00DC5ACD" w:rsidRPr="00BD021E" w:rsidRDefault="00DC5ACD" w:rsidP="00DC5ACD">
      <w:pPr>
        <w:rPr>
          <w:rFonts w:ascii="Garamond" w:hAnsi="Garamond"/>
        </w:rPr>
      </w:pPr>
    </w:p>
    <w:p w:rsidR="00DC5ACD" w:rsidRPr="00BD021E" w:rsidRDefault="00DC5ACD" w:rsidP="00DC5ACD">
      <w:pPr>
        <w:rPr>
          <w:rFonts w:ascii="Garamond" w:hAnsi="Garamond"/>
        </w:rPr>
      </w:pPr>
      <w:proofErr w:type="gramStart"/>
      <w:r w:rsidRPr="00BD021E">
        <w:rPr>
          <w:rFonts w:ascii="Garamond" w:hAnsi="Garamond"/>
        </w:rPr>
        <w:t>Boston University School of Public Health.</w:t>
      </w:r>
      <w:proofErr w:type="gramEnd"/>
      <w:r w:rsidRPr="00BD021E">
        <w:rPr>
          <w:rFonts w:ascii="Garamond" w:hAnsi="Garamond"/>
        </w:rPr>
        <w:t xml:space="preserve"> </w:t>
      </w:r>
      <w:proofErr w:type="gramStart"/>
      <w:r w:rsidRPr="00BD021E">
        <w:rPr>
          <w:rFonts w:ascii="Garamond" w:hAnsi="Garamond"/>
        </w:rPr>
        <w:t xml:space="preserve">(2015). </w:t>
      </w:r>
      <w:r w:rsidRPr="00BD021E">
        <w:rPr>
          <w:rFonts w:ascii="Garamond" w:hAnsi="Garamond"/>
          <w:i/>
        </w:rPr>
        <w:t>Internal and external validity</w:t>
      </w:r>
      <w:r w:rsidRPr="00BD021E">
        <w:rPr>
          <w:rFonts w:ascii="Garamond" w:hAnsi="Garamond"/>
        </w:rPr>
        <w:t>.</w:t>
      </w:r>
      <w:proofErr w:type="gramEnd"/>
      <w:r w:rsidRPr="00BD021E">
        <w:rPr>
          <w:rFonts w:ascii="Garamond" w:hAnsi="Garamond"/>
        </w:rPr>
        <w:t xml:space="preserve"> Retrieved </w:t>
      </w:r>
    </w:p>
    <w:p w:rsidR="00DC5ACD" w:rsidRPr="00BD021E" w:rsidRDefault="00DC5ACD" w:rsidP="00DC5ACD">
      <w:pPr>
        <w:ind w:left="720"/>
        <w:rPr>
          <w:rFonts w:ascii="Garamond" w:hAnsi="Garamond"/>
        </w:rPr>
      </w:pPr>
      <w:proofErr w:type="gramStart"/>
      <w:r w:rsidRPr="00BD021E">
        <w:rPr>
          <w:rFonts w:ascii="Garamond" w:hAnsi="Garamond"/>
        </w:rPr>
        <w:t>from</w:t>
      </w:r>
      <w:proofErr w:type="gramEnd"/>
      <w:r w:rsidRPr="00BD021E">
        <w:rPr>
          <w:rFonts w:ascii="Garamond" w:hAnsi="Garamond"/>
        </w:rPr>
        <w:t xml:space="preserve"> </w:t>
      </w:r>
      <w:hyperlink r:id="rId9" w:history="1">
        <w:r w:rsidR="00BD021E" w:rsidRPr="00BD021E">
          <w:rPr>
            <w:rStyle w:val="Hyperlink"/>
            <w:rFonts w:ascii="Garamond" w:hAnsi="Garamond"/>
          </w:rPr>
          <w:t>http://sphweb.bumc.bu.edu/otlt/mph-modules/ProgramEvaluation/ProgramEvaluation6.html</w:t>
        </w:r>
      </w:hyperlink>
      <w:r w:rsidR="00BD021E" w:rsidRPr="00BD021E">
        <w:rPr>
          <w:rFonts w:ascii="Garamond" w:hAnsi="Garamond"/>
        </w:rPr>
        <w:t xml:space="preserve"> </w:t>
      </w:r>
    </w:p>
    <w:p w:rsidR="00DC5ACD" w:rsidRPr="00BD021E" w:rsidRDefault="00DC5ACD" w:rsidP="00DC5ACD">
      <w:pPr>
        <w:ind w:left="720"/>
        <w:rPr>
          <w:rFonts w:ascii="Garamond" w:hAnsi="Garamond"/>
        </w:rPr>
      </w:pPr>
    </w:p>
    <w:p w:rsidR="00DC5ACD" w:rsidRPr="00BD021E" w:rsidRDefault="00DC5ACD" w:rsidP="00DC5ACD">
      <w:pPr>
        <w:rPr>
          <w:rFonts w:ascii="Garamond" w:hAnsi="Garamond"/>
        </w:rPr>
      </w:pPr>
      <w:proofErr w:type="gramStart"/>
      <w:r w:rsidRPr="00BD021E">
        <w:rPr>
          <w:rFonts w:ascii="Garamond" w:hAnsi="Garamond"/>
        </w:rPr>
        <w:t xml:space="preserve">Campbell, N., Gaston, A., Gray, C., Rush, E., Maddison, R., &amp; </w:t>
      </w:r>
      <w:proofErr w:type="spellStart"/>
      <w:r w:rsidRPr="00BD021E">
        <w:rPr>
          <w:rFonts w:ascii="Garamond" w:hAnsi="Garamond"/>
        </w:rPr>
        <w:t>Prapavessis</w:t>
      </w:r>
      <w:proofErr w:type="spellEnd"/>
      <w:r w:rsidRPr="00BD021E">
        <w:rPr>
          <w:rFonts w:ascii="Garamond" w:hAnsi="Garamond"/>
        </w:rPr>
        <w:t>, H. (2016).</w:t>
      </w:r>
      <w:proofErr w:type="gramEnd"/>
      <w:r w:rsidRPr="00BD021E">
        <w:rPr>
          <w:rFonts w:ascii="Garamond" w:hAnsi="Garamond"/>
        </w:rPr>
        <w:t xml:space="preserve"> The short </w:t>
      </w:r>
    </w:p>
    <w:p w:rsidR="00DC5ACD" w:rsidRPr="00BD021E" w:rsidRDefault="00DC5ACD" w:rsidP="00DC5ACD">
      <w:pPr>
        <w:ind w:firstLine="720"/>
        <w:rPr>
          <w:rFonts w:ascii="Garamond" w:hAnsi="Garamond"/>
        </w:rPr>
      </w:pPr>
      <w:proofErr w:type="gramStart"/>
      <w:r w:rsidRPr="00BD021E">
        <w:rPr>
          <w:rFonts w:ascii="Garamond" w:hAnsi="Garamond"/>
        </w:rPr>
        <w:t>questionnaire</w:t>
      </w:r>
      <w:proofErr w:type="gramEnd"/>
      <w:r w:rsidRPr="00BD021E">
        <w:rPr>
          <w:rFonts w:ascii="Garamond" w:hAnsi="Garamond"/>
        </w:rPr>
        <w:t xml:space="preserve"> to assess health-enhancing (SQUASH) physical activity in adolescents: A </w:t>
      </w:r>
    </w:p>
    <w:p w:rsidR="00DC5ACD" w:rsidRPr="00BD021E" w:rsidRDefault="00DC5ACD" w:rsidP="00DC5ACD">
      <w:pPr>
        <w:ind w:left="720"/>
        <w:rPr>
          <w:rFonts w:ascii="Garamond" w:hAnsi="Garamond"/>
        </w:rPr>
      </w:pPr>
      <w:proofErr w:type="gramStart"/>
      <w:r w:rsidRPr="00BD021E">
        <w:rPr>
          <w:rFonts w:ascii="Garamond" w:hAnsi="Garamond"/>
        </w:rPr>
        <w:t>validation</w:t>
      </w:r>
      <w:proofErr w:type="gramEnd"/>
      <w:r w:rsidRPr="00BD021E">
        <w:rPr>
          <w:rFonts w:ascii="Garamond" w:hAnsi="Garamond"/>
        </w:rPr>
        <w:t xml:space="preserve"> using doubly labeled water. </w:t>
      </w:r>
      <w:r w:rsidRPr="00BD021E">
        <w:rPr>
          <w:rFonts w:ascii="Garamond" w:hAnsi="Garamond"/>
          <w:i/>
        </w:rPr>
        <w:t>Journal of Physical Activity and Health, 13</w:t>
      </w:r>
      <w:r w:rsidRPr="00BD021E">
        <w:rPr>
          <w:rFonts w:ascii="Garamond" w:hAnsi="Garamond"/>
        </w:rPr>
        <w:t xml:space="preserve">, 154-158. </w:t>
      </w:r>
    </w:p>
    <w:p w:rsidR="00DC5ACD" w:rsidRPr="00BD021E" w:rsidRDefault="00DC5ACD" w:rsidP="00DC5ACD">
      <w:pPr>
        <w:rPr>
          <w:rFonts w:ascii="Garamond" w:hAnsi="Garamond"/>
        </w:rPr>
      </w:pPr>
    </w:p>
    <w:p w:rsidR="00DC5ACD" w:rsidRPr="00BD021E" w:rsidRDefault="00DC5ACD" w:rsidP="00DC5ACD">
      <w:pPr>
        <w:rPr>
          <w:rFonts w:ascii="Garamond" w:hAnsi="Garamond"/>
          <w:i/>
        </w:rPr>
      </w:pPr>
      <w:proofErr w:type="gramStart"/>
      <w:r w:rsidRPr="00BD021E">
        <w:rPr>
          <w:rFonts w:ascii="Garamond" w:hAnsi="Garamond"/>
        </w:rPr>
        <w:lastRenderedPageBreak/>
        <w:t xml:space="preserve">Roberts, P., Priest, H., &amp; </w:t>
      </w:r>
      <w:proofErr w:type="spellStart"/>
      <w:r w:rsidRPr="00BD021E">
        <w:rPr>
          <w:rFonts w:ascii="Garamond" w:hAnsi="Garamond"/>
        </w:rPr>
        <w:t>Traynor</w:t>
      </w:r>
      <w:proofErr w:type="spellEnd"/>
      <w:r w:rsidRPr="00BD021E">
        <w:rPr>
          <w:rFonts w:ascii="Garamond" w:hAnsi="Garamond"/>
        </w:rPr>
        <w:t>, M. (2006).</w:t>
      </w:r>
      <w:proofErr w:type="gramEnd"/>
      <w:r w:rsidRPr="00BD021E">
        <w:rPr>
          <w:rFonts w:ascii="Garamond" w:hAnsi="Garamond"/>
        </w:rPr>
        <w:t xml:space="preserve"> </w:t>
      </w:r>
      <w:proofErr w:type="gramStart"/>
      <w:r w:rsidRPr="00BD021E">
        <w:rPr>
          <w:rFonts w:ascii="Garamond" w:hAnsi="Garamond"/>
        </w:rPr>
        <w:t>Reliability and validity in research.</w:t>
      </w:r>
      <w:proofErr w:type="gramEnd"/>
      <w:r w:rsidRPr="00BD021E">
        <w:rPr>
          <w:rFonts w:ascii="Garamond" w:hAnsi="Garamond"/>
        </w:rPr>
        <w:t xml:space="preserve"> </w:t>
      </w:r>
      <w:r w:rsidRPr="00BD021E">
        <w:rPr>
          <w:rFonts w:ascii="Garamond" w:hAnsi="Garamond"/>
          <w:i/>
        </w:rPr>
        <w:t xml:space="preserve">Nursing </w:t>
      </w:r>
    </w:p>
    <w:p w:rsidR="00DC5ACD" w:rsidRPr="00BD021E" w:rsidRDefault="00DC5ACD" w:rsidP="00DC5ACD">
      <w:pPr>
        <w:ind w:firstLine="720"/>
        <w:rPr>
          <w:rFonts w:ascii="Garamond" w:hAnsi="Garamond"/>
        </w:rPr>
      </w:pPr>
      <w:proofErr w:type="gramStart"/>
      <w:r w:rsidRPr="00BD021E">
        <w:rPr>
          <w:rFonts w:ascii="Garamond" w:hAnsi="Garamond"/>
          <w:i/>
        </w:rPr>
        <w:t>Standard, 20</w:t>
      </w:r>
      <w:r w:rsidRPr="00BD021E">
        <w:rPr>
          <w:rFonts w:ascii="Garamond" w:hAnsi="Garamond"/>
        </w:rPr>
        <w:t>(44), 41045.</w:t>
      </w:r>
      <w:proofErr w:type="gramEnd"/>
      <w:r w:rsidRPr="00BD021E">
        <w:rPr>
          <w:rFonts w:ascii="Garamond" w:hAnsi="Garamond"/>
        </w:rPr>
        <w:t xml:space="preserve"> </w:t>
      </w:r>
    </w:p>
    <w:p w:rsidR="00DC5ACD" w:rsidRDefault="00DC5ACD" w:rsidP="00DC5ACD">
      <w:pPr>
        <w:rPr>
          <w:b/>
        </w:rPr>
      </w:pPr>
    </w:p>
    <w:p w:rsidR="005F6E9E" w:rsidRDefault="005F6E9E"/>
    <w:p w:rsidR="000D19EB" w:rsidRDefault="000D19EB" w:rsidP="000D19EB">
      <w:pPr>
        <w:rPr>
          <w:rFonts w:ascii="Batang" w:eastAsia="Batang" w:hAnsi="Batang"/>
          <w:b/>
          <w:color w:val="3AABDF"/>
          <w:sz w:val="32"/>
        </w:rPr>
      </w:pPr>
      <w:r w:rsidRPr="001E551C">
        <w:rPr>
          <w:rFonts w:ascii="Batang" w:eastAsia="Batang" w:hAnsi="Batang"/>
          <w:b/>
          <w:color w:val="3AABDF"/>
          <w:sz w:val="32"/>
        </w:rPr>
        <w:t>Short Answer Questions</w:t>
      </w:r>
    </w:p>
    <w:p w:rsidR="00DC5ACD" w:rsidRPr="002F0B8C" w:rsidRDefault="00DC5ACD" w:rsidP="00DC5ACD">
      <w:pPr>
        <w:rPr>
          <w:b/>
          <w:i/>
        </w:rPr>
      </w:pPr>
    </w:p>
    <w:p w:rsidR="00DC5ACD" w:rsidRPr="009A6FAB" w:rsidRDefault="00DC5ACD" w:rsidP="00DC5ACD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9A6FAB">
        <w:rPr>
          <w:rFonts w:ascii="Garamond" w:hAnsi="Garamond"/>
        </w:rPr>
        <w:t xml:space="preserve">Discuss the appropriateness of using external, internal, construct, and logical validity to evaluate the merits of experimental and non-experimental studies. </w:t>
      </w:r>
    </w:p>
    <w:p w:rsidR="00DC5ACD" w:rsidRPr="009A6FAB" w:rsidRDefault="00DC5ACD" w:rsidP="00DC5ACD">
      <w:pPr>
        <w:pStyle w:val="ListParagraph"/>
        <w:ind w:left="360"/>
        <w:rPr>
          <w:rFonts w:ascii="Garamond" w:hAnsi="Garamond"/>
        </w:rPr>
      </w:pPr>
    </w:p>
    <w:p w:rsidR="000D19EB" w:rsidRPr="009A6FAB" w:rsidRDefault="000D19EB" w:rsidP="000D19EB">
      <w:pPr>
        <w:pStyle w:val="ListParagraph"/>
        <w:ind w:left="360"/>
        <w:rPr>
          <w:rFonts w:ascii="Garamond" w:hAnsi="Garamond"/>
        </w:rPr>
      </w:pPr>
      <w:r w:rsidRPr="009A6FAB">
        <w:rPr>
          <w:rFonts w:ascii="Garamond" w:hAnsi="Garamond"/>
        </w:rPr>
        <w:t>All four criteria can be used to evaluate the m</w:t>
      </w:r>
      <w:r w:rsidR="00BD021E" w:rsidRPr="009A6FAB">
        <w:rPr>
          <w:rFonts w:ascii="Garamond" w:hAnsi="Garamond"/>
        </w:rPr>
        <w:t xml:space="preserve">erits of experimental studies. </w:t>
      </w:r>
      <w:proofErr w:type="gramStart"/>
      <w:r w:rsidRPr="009A6FAB">
        <w:rPr>
          <w:rFonts w:ascii="Garamond" w:hAnsi="Garamond"/>
        </w:rPr>
        <w:t>Because internal and external validity involve making claims regarding a treatment or intervention (i.e., an independent variable), they cannot be used to assess the quality of non-experimental (e</w:t>
      </w:r>
      <w:r w:rsidR="00BD021E" w:rsidRPr="009A6FAB">
        <w:rPr>
          <w:rFonts w:ascii="Garamond" w:hAnsi="Garamond"/>
        </w:rPr>
        <w:t>.g., cross-sectional) studies.</w:t>
      </w:r>
      <w:proofErr w:type="gramEnd"/>
      <w:r w:rsidR="00BD021E" w:rsidRPr="009A6FAB">
        <w:rPr>
          <w:rFonts w:ascii="Garamond" w:hAnsi="Garamond"/>
        </w:rPr>
        <w:t xml:space="preserve"> </w:t>
      </w:r>
      <w:r w:rsidRPr="009A6FAB">
        <w:rPr>
          <w:rFonts w:ascii="Garamond" w:hAnsi="Garamond"/>
        </w:rPr>
        <w:t>Only logical and construct validity are appropriate in this regard.  (pp. 114-115)</w:t>
      </w:r>
    </w:p>
    <w:p w:rsidR="000D19EB" w:rsidRPr="009A6FAB" w:rsidRDefault="000D19EB" w:rsidP="00DC5ACD">
      <w:pPr>
        <w:pStyle w:val="ListParagraph"/>
        <w:ind w:left="360"/>
        <w:rPr>
          <w:rFonts w:ascii="Garamond" w:hAnsi="Garamond"/>
        </w:rPr>
      </w:pPr>
    </w:p>
    <w:p w:rsidR="00DC5ACD" w:rsidRPr="009A6FAB" w:rsidRDefault="00DC5ACD" w:rsidP="00DC5ACD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9A6FAB">
        <w:rPr>
          <w:rFonts w:ascii="Garamond" w:hAnsi="Garamond"/>
        </w:rPr>
        <w:t xml:space="preserve">Explain the limitations of using non-random selection of participants for studies (i.e., volunteers). </w:t>
      </w:r>
      <w:bookmarkStart w:id="0" w:name="_GoBack"/>
      <w:bookmarkEnd w:id="0"/>
    </w:p>
    <w:p w:rsidR="00DC5ACD" w:rsidRPr="009A6FAB" w:rsidRDefault="00DC5ACD">
      <w:pPr>
        <w:rPr>
          <w:rFonts w:ascii="Garamond" w:hAnsi="Garamond"/>
        </w:rPr>
      </w:pPr>
    </w:p>
    <w:p w:rsidR="00DC5ACD" w:rsidRPr="009A6FAB" w:rsidRDefault="00DC5ACD" w:rsidP="000D19EB">
      <w:pPr>
        <w:ind w:left="360"/>
        <w:rPr>
          <w:rFonts w:ascii="Garamond" w:hAnsi="Garamond"/>
        </w:rPr>
      </w:pPr>
      <w:r w:rsidRPr="009A6FAB">
        <w:rPr>
          <w:rFonts w:ascii="Garamond" w:hAnsi="Garamond"/>
        </w:rPr>
        <w:t>It is imperative that the ethical principal of autonomy be adhered to when conducting research – that is, humans can choose whether or</w:t>
      </w:r>
      <w:r w:rsidR="00BD021E" w:rsidRPr="009A6FAB">
        <w:rPr>
          <w:rFonts w:ascii="Garamond" w:hAnsi="Garamond"/>
        </w:rPr>
        <w:t xml:space="preserve"> not they want to participate. </w:t>
      </w:r>
      <w:r w:rsidRPr="009A6FAB">
        <w:rPr>
          <w:rFonts w:ascii="Garamond" w:hAnsi="Garamond"/>
        </w:rPr>
        <w:t>Because it is likely that those who volunteer for studies have an inherent interest in the topic (e.g., physical activity), a bias exists wh</w:t>
      </w:r>
      <w:r w:rsidR="00BD021E" w:rsidRPr="009A6FAB">
        <w:rPr>
          <w:rFonts w:ascii="Garamond" w:hAnsi="Garamond"/>
        </w:rPr>
        <w:t xml:space="preserve">ich can influence the results. </w:t>
      </w:r>
      <w:r w:rsidRPr="009A6FAB">
        <w:rPr>
          <w:rFonts w:ascii="Garamond" w:hAnsi="Garamond"/>
        </w:rPr>
        <w:t>Information will be missing on other types of individuals who aren’t necessarily interested in the topic, thereby limiting external validity</w:t>
      </w:r>
      <w:r w:rsidR="00BD021E" w:rsidRPr="009A6FAB">
        <w:rPr>
          <w:rFonts w:ascii="Garamond" w:hAnsi="Garamond"/>
        </w:rPr>
        <w:t xml:space="preserve">. </w:t>
      </w:r>
      <w:r w:rsidRPr="009A6FAB">
        <w:rPr>
          <w:rFonts w:ascii="Garamond" w:hAnsi="Garamond"/>
        </w:rPr>
        <w:t xml:space="preserve">(p. 128) </w:t>
      </w:r>
    </w:p>
    <w:p w:rsidR="00DC5ACD" w:rsidRDefault="00DC5ACD"/>
    <w:sectPr w:rsidR="00DC5A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EB" w:rsidRDefault="000D19EB" w:rsidP="000D19EB">
      <w:r>
        <w:separator/>
      </w:r>
    </w:p>
  </w:endnote>
  <w:endnote w:type="continuationSeparator" w:id="0">
    <w:p w:rsidR="000D19EB" w:rsidRDefault="000D19EB" w:rsidP="000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B" w:rsidRPr="001E551C" w:rsidRDefault="000D19EB" w:rsidP="000D19EB">
    <w:pPr>
      <w:tabs>
        <w:tab w:val="center" w:pos="4680"/>
        <w:tab w:val="right" w:pos="9360"/>
      </w:tabs>
      <w:jc w:val="center"/>
      <w:rPr>
        <w:rFonts w:ascii="Century Gothic" w:eastAsia="BatangChe" w:hAnsi="Century Gothic"/>
        <w:b/>
        <w:i/>
        <w:color w:val="58585A"/>
        <w:sz w:val="20"/>
      </w:rPr>
    </w:pPr>
    <w:r w:rsidRPr="001E551C">
      <w:rPr>
        <w:rFonts w:ascii="Century Gothic" w:eastAsia="BatangChe" w:hAnsi="Century Gothic"/>
        <w:b/>
        <w:i/>
        <w:color w:val="58585A"/>
        <w:sz w:val="20"/>
      </w:rPr>
      <w:t>Research Methods in Kinesiology</w:t>
    </w:r>
  </w:p>
  <w:p w:rsidR="000D19EB" w:rsidRPr="001E551C" w:rsidRDefault="000D19EB" w:rsidP="000D19EB">
    <w:pPr>
      <w:tabs>
        <w:tab w:val="center" w:pos="4680"/>
        <w:tab w:val="right" w:pos="9360"/>
      </w:tabs>
      <w:jc w:val="center"/>
      <w:rPr>
        <w:rFonts w:ascii="Century Gothic" w:eastAsia="BatangChe" w:hAnsi="Century Gothic"/>
        <w:b/>
        <w:color w:val="58585A"/>
        <w:sz w:val="20"/>
      </w:rPr>
    </w:pPr>
    <w:r w:rsidRPr="001E551C">
      <w:rPr>
        <w:rFonts w:ascii="Century Gothic" w:eastAsia="BatangChe" w:hAnsi="Century Gothic"/>
        <w:b/>
        <w:color w:val="58585A"/>
        <w:sz w:val="20"/>
      </w:rPr>
      <w:t>© Oxford University Press, 2018</w:t>
    </w:r>
  </w:p>
  <w:p w:rsidR="000D19EB" w:rsidRDefault="000D1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EB" w:rsidRDefault="000D19EB" w:rsidP="000D19EB">
      <w:r>
        <w:separator/>
      </w:r>
    </w:p>
  </w:footnote>
  <w:footnote w:type="continuationSeparator" w:id="0">
    <w:p w:rsidR="000D19EB" w:rsidRDefault="000D19EB" w:rsidP="000D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C37"/>
    <w:multiLevelType w:val="hybridMultilevel"/>
    <w:tmpl w:val="8B107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F5E"/>
    <w:multiLevelType w:val="hybridMultilevel"/>
    <w:tmpl w:val="802ED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70F7"/>
    <w:multiLevelType w:val="hybridMultilevel"/>
    <w:tmpl w:val="52DC5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BB3"/>
    <w:multiLevelType w:val="hybridMultilevel"/>
    <w:tmpl w:val="F8F2EA32"/>
    <w:lvl w:ilvl="0" w:tplc="753E3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0E9"/>
    <w:multiLevelType w:val="hybridMultilevel"/>
    <w:tmpl w:val="E218367E"/>
    <w:lvl w:ilvl="0" w:tplc="C1FA3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354CB"/>
    <w:multiLevelType w:val="hybridMultilevel"/>
    <w:tmpl w:val="63680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695E"/>
    <w:multiLevelType w:val="hybridMultilevel"/>
    <w:tmpl w:val="15781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7FB4"/>
    <w:multiLevelType w:val="hybridMultilevel"/>
    <w:tmpl w:val="DCFEB960"/>
    <w:lvl w:ilvl="0" w:tplc="95045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A6A49"/>
    <w:multiLevelType w:val="hybridMultilevel"/>
    <w:tmpl w:val="38F0D98E"/>
    <w:lvl w:ilvl="0" w:tplc="FF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87065"/>
    <w:multiLevelType w:val="hybridMultilevel"/>
    <w:tmpl w:val="A1280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4098"/>
    <w:multiLevelType w:val="hybridMultilevel"/>
    <w:tmpl w:val="E354B63A"/>
    <w:lvl w:ilvl="0" w:tplc="86D4D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F1594"/>
    <w:multiLevelType w:val="hybridMultilevel"/>
    <w:tmpl w:val="5212F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43C3A"/>
    <w:multiLevelType w:val="hybridMultilevel"/>
    <w:tmpl w:val="9BD82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80BBB"/>
    <w:multiLevelType w:val="hybridMultilevel"/>
    <w:tmpl w:val="5D8E9A7E"/>
    <w:lvl w:ilvl="0" w:tplc="CA64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9579F6"/>
    <w:multiLevelType w:val="hybridMultilevel"/>
    <w:tmpl w:val="24C4F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F6E54"/>
    <w:multiLevelType w:val="hybridMultilevel"/>
    <w:tmpl w:val="4DE48388"/>
    <w:lvl w:ilvl="0" w:tplc="8068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93168F"/>
    <w:multiLevelType w:val="hybridMultilevel"/>
    <w:tmpl w:val="290C4054"/>
    <w:lvl w:ilvl="0" w:tplc="6E786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326DB"/>
    <w:multiLevelType w:val="hybridMultilevel"/>
    <w:tmpl w:val="BEEC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86EF0"/>
    <w:multiLevelType w:val="hybridMultilevel"/>
    <w:tmpl w:val="0AFE1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34747"/>
    <w:multiLevelType w:val="hybridMultilevel"/>
    <w:tmpl w:val="2A52D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9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6E"/>
    <w:rsid w:val="000D19EB"/>
    <w:rsid w:val="00283556"/>
    <w:rsid w:val="00546A6E"/>
    <w:rsid w:val="005F6E9E"/>
    <w:rsid w:val="007C2B88"/>
    <w:rsid w:val="009A6FAB"/>
    <w:rsid w:val="00A27C3D"/>
    <w:rsid w:val="00BD021E"/>
    <w:rsid w:val="00DC5ACD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6E"/>
    <w:rPr>
      <w:rFonts w:ascii="Times New Roman" w:eastAsiaTheme="minorEastAsia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88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8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2B88"/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C2B8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EB"/>
    <w:rPr>
      <w:rFonts w:ascii="Times New Roman" w:eastAsiaTheme="minorEastAsia" w:hAnsi="Times New Roman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EB"/>
    <w:rPr>
      <w:rFonts w:ascii="Times New Roman" w:eastAsiaTheme="minorEastAsia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6E"/>
    <w:rPr>
      <w:rFonts w:ascii="Times New Roman" w:eastAsiaTheme="minorEastAsia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88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8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2B88"/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C2B8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EB"/>
    <w:rPr>
      <w:rFonts w:ascii="Times New Roman" w:eastAsiaTheme="minorEastAsia" w:hAnsi="Times New Roman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EB"/>
    <w:rPr>
      <w:rFonts w:ascii="Times New Roman" w:eastAsiaTheme="minorEastAsia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hweb.bumc.bu.edu/otlt/mph-modules/ProgramEvaluation/ProgramEvaluation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D'ALIESIO, Valentina</dc:creator>
  <cp:lastModifiedBy>D'ALIESIO, Valentina</cp:lastModifiedBy>
  <cp:revision>2</cp:revision>
  <dcterms:created xsi:type="dcterms:W3CDTF">2018-07-17T14:37:00Z</dcterms:created>
  <dcterms:modified xsi:type="dcterms:W3CDTF">2018-07-17T14:37:00Z</dcterms:modified>
</cp:coreProperties>
</file>