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732" w:rsidRPr="00113A81" w:rsidRDefault="00274732" w:rsidP="00274732">
      <w:pPr>
        <w:rPr>
          <w:sz w:val="36"/>
          <w:szCs w:val="36"/>
        </w:rPr>
      </w:pPr>
      <w:r w:rsidRPr="00113A81">
        <w:rPr>
          <w:sz w:val="36"/>
          <w:szCs w:val="36"/>
        </w:rPr>
        <w:t>Chapter 6: Sensation, Perception, and Adaptation</w:t>
      </w:r>
    </w:p>
    <w:p w:rsidR="00274732" w:rsidRDefault="00274732" w:rsidP="00274732">
      <w:pPr>
        <w:pStyle w:val="Heading1"/>
      </w:pPr>
      <w:r w:rsidRPr="00016EE7">
        <w:t xml:space="preserve">Brain Scene Investigation: </w:t>
      </w:r>
      <w:r>
        <w:t>Seeing without vision</w:t>
      </w:r>
    </w:p>
    <w:p w:rsidR="00274732" w:rsidRPr="00E507A9" w:rsidRDefault="00274732" w:rsidP="00274732">
      <w:pPr>
        <w:pStyle w:val="NoSpacing"/>
      </w:pPr>
      <w:r>
        <w:t>Story of Daniel who lost his vision but can use echolocation to “see” without vision.</w:t>
      </w:r>
    </w:p>
    <w:p w:rsidR="00274732" w:rsidRDefault="00274732" w:rsidP="00274732">
      <w:pPr>
        <w:pStyle w:val="Heading1"/>
      </w:pPr>
      <w:r>
        <w:t>Fundamentals of sensation and perception</w:t>
      </w:r>
    </w:p>
    <w:p w:rsidR="00274732" w:rsidRDefault="00274732" w:rsidP="00274732">
      <w:pPr>
        <w:pStyle w:val="Heading2"/>
      </w:pPr>
      <w:proofErr w:type="spellStart"/>
      <w:r>
        <w:t>Fecnher’s</w:t>
      </w:r>
      <w:proofErr w:type="spellEnd"/>
      <w:r>
        <w:t xml:space="preserve"> dream</w:t>
      </w:r>
    </w:p>
    <w:p w:rsidR="00274732" w:rsidRPr="00E507A9" w:rsidRDefault="00274732" w:rsidP="00274732">
      <w:pPr>
        <w:pStyle w:val="NoSpacing"/>
      </w:pPr>
      <w:r>
        <w:t>Psychophysics establishes functional relationships between properties of stimuli and the individual’s perceptual experience of the stimulus.</w:t>
      </w:r>
    </w:p>
    <w:p w:rsidR="00274732" w:rsidRDefault="00274732" w:rsidP="00274732">
      <w:pPr>
        <w:pStyle w:val="Heading2"/>
      </w:pPr>
      <w:r>
        <w:t>Tuning in to environmental cue</w:t>
      </w:r>
    </w:p>
    <w:p w:rsidR="00274732" w:rsidRPr="00E507A9" w:rsidRDefault="00274732" w:rsidP="00274732">
      <w:pPr>
        <w:pStyle w:val="NoSpacing"/>
      </w:pPr>
      <w:r>
        <w:t xml:space="preserve">Each of an animal’s senses has a corresponding sensory receptor. The </w:t>
      </w:r>
      <w:proofErr w:type="gramStart"/>
      <w:r>
        <w:t>kinds</w:t>
      </w:r>
      <w:proofErr w:type="gramEnd"/>
      <w:r>
        <w:t xml:space="preserve"> of receptors a given species has available is dependent on their environment. </w:t>
      </w:r>
    </w:p>
    <w:p w:rsidR="00274732" w:rsidRDefault="00274732" w:rsidP="00274732">
      <w:pPr>
        <w:pStyle w:val="Heading2"/>
      </w:pPr>
      <w:r>
        <w:t>The big sensory picture: Taste and multisensory integration</w:t>
      </w:r>
    </w:p>
    <w:p w:rsidR="00274732" w:rsidRDefault="00274732" w:rsidP="00274732">
      <w:pPr>
        <w:pStyle w:val="NoSpacing"/>
      </w:pPr>
      <w:r>
        <w:t>We experience the world as a composite of our senses, rather than perceiving senses in isolation or as a rapid sequence.</w:t>
      </w:r>
    </w:p>
    <w:p w:rsidR="00274732" w:rsidRDefault="00274732" w:rsidP="00274732">
      <w:pPr>
        <w:pStyle w:val="NoSpacing"/>
      </w:pPr>
      <w:r w:rsidRPr="00E507A9">
        <w:rPr>
          <w:rStyle w:val="Heading3Char"/>
        </w:rPr>
        <w:t>Smell, Taste, and Flavor: An Example of Multisensory Processing.</w:t>
      </w:r>
      <w:r w:rsidRPr="00E507A9">
        <w:rPr>
          <w:bCs/>
        </w:rPr>
        <w:t xml:space="preserve"> </w:t>
      </w:r>
      <w:r>
        <w:t xml:space="preserve">When we eat food, we get more information than just what our taste buds tell us, including information from </w:t>
      </w:r>
      <w:r w:rsidRPr="00E507A9">
        <w:rPr>
          <w:bCs/>
        </w:rPr>
        <w:t xml:space="preserve">vision, smell, and </w:t>
      </w:r>
      <w:r w:rsidRPr="00E507A9">
        <w:t>touch.</w:t>
      </w:r>
    </w:p>
    <w:p w:rsidR="00274732" w:rsidRPr="00E507A9" w:rsidRDefault="00274732" w:rsidP="00274732">
      <w:pPr>
        <w:pStyle w:val="NoSpacing"/>
      </w:pPr>
      <w:proofErr w:type="gramStart"/>
      <w:r w:rsidRPr="00FA3D4F">
        <w:rPr>
          <w:rStyle w:val="Heading3Char"/>
        </w:rPr>
        <w:t>The Functions and Neural Basis of Multisensory Integration</w:t>
      </w:r>
      <w:r w:rsidRPr="00E507A9">
        <w:rPr>
          <w:bCs/>
        </w:rPr>
        <w:t>.</w:t>
      </w:r>
      <w:proofErr w:type="gramEnd"/>
      <w:r w:rsidRPr="00E507A9">
        <w:rPr>
          <w:bCs/>
        </w:rPr>
        <w:t xml:space="preserve"> </w:t>
      </w:r>
      <w:r>
        <w:t xml:space="preserve">Combining information from multiple senses allows better detection of relevant stimuli. Sometimes combining information can result in non-veridical percepts, as exemplified by the </w:t>
      </w:r>
      <w:proofErr w:type="spellStart"/>
      <w:r>
        <w:t>McGurk</w:t>
      </w:r>
      <w:proofErr w:type="spellEnd"/>
      <w:r>
        <w:t xml:space="preserve"> effect. The superior temporal sulcus is a locus of auditory and visual multisensory integration.</w:t>
      </w:r>
    </w:p>
    <w:p w:rsidR="00274732" w:rsidRDefault="00274732" w:rsidP="00274732">
      <w:pPr>
        <w:pStyle w:val="Heading1"/>
      </w:pPr>
      <w:r>
        <w:t>Vision</w:t>
      </w:r>
    </w:p>
    <w:p w:rsidR="00274732" w:rsidRDefault="00274732" w:rsidP="00274732">
      <w:pPr>
        <w:pStyle w:val="Heading2"/>
      </w:pPr>
      <w:r>
        <w:t>Light’s journey to the cortex</w:t>
      </w:r>
    </w:p>
    <w:p w:rsidR="00274732" w:rsidRPr="00057650" w:rsidRDefault="00274732" w:rsidP="00274732">
      <w:pPr>
        <w:pStyle w:val="NoSpacing"/>
      </w:pPr>
      <w:proofErr w:type="gramStart"/>
      <w:r w:rsidRPr="00785EB5">
        <w:rPr>
          <w:rStyle w:val="Heading3Char"/>
        </w:rPr>
        <w:t>Stimulus and receptor</w:t>
      </w:r>
      <w:r>
        <w:t>.</w:t>
      </w:r>
      <w:proofErr w:type="gramEnd"/>
      <w:r>
        <w:t xml:space="preserve"> L</w:t>
      </w:r>
      <w:r w:rsidRPr="00D00FCC">
        <w:t xml:space="preserve">ight within 400-750 nm is the </w:t>
      </w:r>
      <w:r w:rsidRPr="00D00FCC">
        <w:rPr>
          <w:bCs/>
        </w:rPr>
        <w:t xml:space="preserve">adequate stimulus </w:t>
      </w:r>
      <w:r w:rsidRPr="00D00FCC">
        <w:t xml:space="preserve">for </w:t>
      </w:r>
      <w:r>
        <w:t>photoreceptors in humans. Wavelength of light determines perceived hue; i</w:t>
      </w:r>
      <w:r w:rsidRPr="00D00FCC">
        <w:t>ntensity of light determines perceived brightness; purity of the light stimulus</w:t>
      </w:r>
      <w:r>
        <w:t xml:space="preserve"> (</w:t>
      </w:r>
      <w:r w:rsidRPr="00D00FCC">
        <w:t>precision of the wavelength bandwidth</w:t>
      </w:r>
      <w:r>
        <w:t>)</w:t>
      </w:r>
      <w:r w:rsidRPr="00D00FCC">
        <w:t xml:space="preserve"> </w:t>
      </w:r>
      <w:r>
        <w:t xml:space="preserve">determines the perceived color saturation. </w:t>
      </w:r>
      <w:r w:rsidRPr="00057650">
        <w:t xml:space="preserve">Light triggers a series of chemical events that transform the light stimulus to neural messages that are ultimately interpreted as visual stimuli. </w:t>
      </w:r>
    </w:p>
    <w:p w:rsidR="00274732" w:rsidRDefault="00274732" w:rsidP="00274732">
      <w:pPr>
        <w:pStyle w:val="NoSpacing"/>
      </w:pPr>
      <w:proofErr w:type="gramStart"/>
      <w:r w:rsidRPr="00057650">
        <w:rPr>
          <w:rStyle w:val="Heading3Char"/>
        </w:rPr>
        <w:t>Central nervous system visual pathway</w:t>
      </w:r>
      <w:r>
        <w:t>.</w:t>
      </w:r>
      <w:proofErr w:type="gramEnd"/>
      <w:r>
        <w:t xml:space="preserve"> Visual information travels from the retina to the LGN to primary visual cortex. The LGN has three types of layers: </w:t>
      </w:r>
      <w:proofErr w:type="spellStart"/>
      <w:r>
        <w:t>magnocellular</w:t>
      </w:r>
      <w:proofErr w:type="spellEnd"/>
      <w:r>
        <w:t xml:space="preserve">: ventral, larger cells, providing “where” information; </w:t>
      </w:r>
      <w:proofErr w:type="spellStart"/>
      <w:r>
        <w:t>parvocellular</w:t>
      </w:r>
      <w:proofErr w:type="spellEnd"/>
      <w:r>
        <w:t xml:space="preserve">: dorsal, smaller cells, providing “what” information; </w:t>
      </w:r>
      <w:proofErr w:type="spellStart"/>
      <w:r>
        <w:t>koniocellular</w:t>
      </w:r>
      <w:proofErr w:type="spellEnd"/>
      <w:r>
        <w:t xml:space="preserve"> layers are interspersed between other layers, associated with color perception. </w:t>
      </w:r>
    </w:p>
    <w:p w:rsidR="00274732" w:rsidRPr="00C514F8" w:rsidRDefault="00274732" w:rsidP="00274732">
      <w:pPr>
        <w:pStyle w:val="NoSpacing"/>
      </w:pPr>
      <w:proofErr w:type="gramStart"/>
      <w:r w:rsidRPr="008C5FF1">
        <w:rPr>
          <w:rStyle w:val="Heading3Char"/>
        </w:rPr>
        <w:t>Visual details</w:t>
      </w:r>
      <w:r>
        <w:t>.</w:t>
      </w:r>
      <w:proofErr w:type="gramEnd"/>
      <w:r>
        <w:t xml:space="preserve"> Several specialized cell types aid in visual perception. </w:t>
      </w:r>
      <w:proofErr w:type="gramStart"/>
      <w:r>
        <w:t xml:space="preserve">On-center vs. off-center; simple (orientation selective, </w:t>
      </w:r>
      <w:proofErr w:type="spellStart"/>
      <w:r>
        <w:t>retinotopic</w:t>
      </w:r>
      <w:proofErr w:type="spellEnd"/>
      <w:r>
        <w:t xml:space="preserve">) vs. complex (orientation selective, less </w:t>
      </w:r>
      <w:proofErr w:type="spellStart"/>
      <w:r>
        <w:t>retinotopic</w:t>
      </w:r>
      <w:proofErr w:type="spellEnd"/>
      <w:r>
        <w:t xml:space="preserve">) vs. hyper-complex (orientation and length selective, </w:t>
      </w:r>
      <w:proofErr w:type="spellStart"/>
      <w:r>
        <w:t>retinotopic</w:t>
      </w:r>
      <w:proofErr w:type="spellEnd"/>
      <w:r>
        <w:t>).</w:t>
      </w:r>
      <w:proofErr w:type="gramEnd"/>
      <w:r>
        <w:t xml:space="preserve"> Later visual areas encode progressively more complex aspects of the visual scene, e.g., fusiform area. General organization principal: ventral “what” pathway and dorsal “where” pathway.</w:t>
      </w:r>
    </w:p>
    <w:p w:rsidR="00274732" w:rsidRDefault="00274732" w:rsidP="00274732">
      <w:pPr>
        <w:pStyle w:val="Heading2"/>
      </w:pPr>
      <w:r>
        <w:t>Processing contextual cues</w:t>
      </w:r>
    </w:p>
    <w:p w:rsidR="00274732" w:rsidRPr="00F6654A" w:rsidRDefault="00274732" w:rsidP="00274732">
      <w:pPr>
        <w:pStyle w:val="NoSpacing"/>
      </w:pPr>
      <w:r>
        <w:t xml:space="preserve">Visual information is processed in the context of the surrounding visual scene. </w:t>
      </w:r>
      <w:proofErr w:type="spellStart"/>
      <w:r>
        <w:t>Parahippocampal</w:t>
      </w:r>
      <w:proofErr w:type="spellEnd"/>
      <w:r>
        <w:t xml:space="preserve"> cortex and associated cortical areas help the brain identify ambiguous stimuli based on the surrounding environmental context.</w:t>
      </w:r>
    </w:p>
    <w:p w:rsidR="00274732" w:rsidRDefault="00274732" w:rsidP="00274732">
      <w:pPr>
        <w:pStyle w:val="Heading2"/>
      </w:pPr>
      <w:proofErr w:type="gramStart"/>
      <w:r>
        <w:lastRenderedPageBreak/>
        <w:t>Color vision.</w:t>
      </w:r>
      <w:proofErr w:type="gramEnd"/>
    </w:p>
    <w:p w:rsidR="00274732" w:rsidRDefault="00274732" w:rsidP="00274732">
      <w:pPr>
        <w:pStyle w:val="NoSpacing"/>
      </w:pPr>
      <w:proofErr w:type="gramStart"/>
      <w:r w:rsidRPr="00BA40B2">
        <w:rPr>
          <w:rStyle w:val="Heading3Char"/>
        </w:rPr>
        <w:t>Neural basis of color vision</w:t>
      </w:r>
      <w:r>
        <w:t>.</w:t>
      </w:r>
      <w:proofErr w:type="gramEnd"/>
      <w:r>
        <w:t xml:space="preserve"> Trichromatic theory: We have receptors with peak sensitivity at short, medium, and long wavelengths. Differen</w:t>
      </w:r>
      <w:r w:rsidRPr="00BA40B2">
        <w:t xml:space="preserve">tially mixing medium, short, and long wavelengths of light </w:t>
      </w:r>
      <w:r>
        <w:t xml:space="preserve">can produce all </w:t>
      </w:r>
      <w:r w:rsidRPr="00BA40B2">
        <w:t>colors that we can see</w:t>
      </w:r>
      <w:r>
        <w:t>. S</w:t>
      </w:r>
      <w:r w:rsidRPr="00BA40B2">
        <w:t>uperimpos</w:t>
      </w:r>
      <w:r>
        <w:t xml:space="preserve">ing all wavelengths produces perception of </w:t>
      </w:r>
      <w:r w:rsidRPr="00BA40B2">
        <w:t>the color white</w:t>
      </w:r>
      <w:r>
        <w:t>. Opponent process theory: cells respond to two opposing colors.</w:t>
      </w:r>
    </w:p>
    <w:p w:rsidR="00274732" w:rsidRPr="00F6654A" w:rsidRDefault="00274732" w:rsidP="00274732">
      <w:pPr>
        <w:pStyle w:val="NoSpacing"/>
      </w:pPr>
      <w:r>
        <w:rPr>
          <w:rStyle w:val="Heading3Char"/>
        </w:rPr>
        <w:t>Adaptive functions of color vision. Seeing color can provide survival advantage depending on an animal’s environmental demands. Primates are the only mammals with three types of cones. Color vision may provide cues about a conspecific’s health.</w:t>
      </w:r>
    </w:p>
    <w:p w:rsidR="00274732" w:rsidRDefault="00274732" w:rsidP="00274732">
      <w:pPr>
        <w:pStyle w:val="Heading2"/>
      </w:pPr>
      <w:proofErr w:type="spellStart"/>
      <w:r>
        <w:t>Uber</w:t>
      </w:r>
      <w:proofErr w:type="spellEnd"/>
      <w:r>
        <w:t>-vision: Hawks</w:t>
      </w:r>
    </w:p>
    <w:p w:rsidR="00274732" w:rsidRPr="00AF3830" w:rsidRDefault="00274732" w:rsidP="00274732">
      <w:pPr>
        <w:pStyle w:val="NoSpacing"/>
      </w:pPr>
      <w:r w:rsidRPr="00AF3830">
        <w:t>If human eyes matched the proportional size of the hawk’s eyes to its facial area, they wou</w:t>
      </w:r>
      <w:r>
        <w:t>ld be the size of tennis balls. Hawks have two foveae allowing for increased detail perception and can perceive slower levels of motion than humans.</w:t>
      </w:r>
    </w:p>
    <w:p w:rsidR="00274732" w:rsidRDefault="00274732" w:rsidP="00274732">
      <w:pPr>
        <w:pStyle w:val="Heading1"/>
      </w:pPr>
      <w:r>
        <w:t>Hearing</w:t>
      </w:r>
    </w:p>
    <w:p w:rsidR="00274732" w:rsidRDefault="00274732" w:rsidP="00274732">
      <w:pPr>
        <w:pStyle w:val="Heading2"/>
      </w:pPr>
      <w:r w:rsidRPr="005F2421">
        <w:t>Stimulus and receptor</w:t>
      </w:r>
    </w:p>
    <w:p w:rsidR="00274732" w:rsidRDefault="00274732" w:rsidP="00274732">
      <w:pPr>
        <w:pStyle w:val="NoSpacing"/>
      </w:pPr>
      <w:r w:rsidRPr="003E50EC">
        <w:t xml:space="preserve">The frequency of sound waves is perceived as </w:t>
      </w:r>
      <w:r w:rsidRPr="003E50EC">
        <w:rPr>
          <w:bCs/>
        </w:rPr>
        <w:t>pitch</w:t>
      </w:r>
      <w:r w:rsidRPr="003E50EC">
        <w:t xml:space="preserve">, and the intensity of sound waves measured as intensity is perceived as </w:t>
      </w:r>
      <w:r w:rsidRPr="003E50EC">
        <w:rPr>
          <w:bCs/>
        </w:rPr>
        <w:t>loudness</w:t>
      </w:r>
      <w:r w:rsidRPr="003E50EC">
        <w:t xml:space="preserve">. Sound waves are funneled by the pinna and subsequently travel through the ear canal to the middle and inner ear areas. The </w:t>
      </w:r>
      <w:r w:rsidRPr="003E50EC">
        <w:rPr>
          <w:bCs/>
        </w:rPr>
        <w:t xml:space="preserve">organ of </w:t>
      </w:r>
      <w:proofErr w:type="spellStart"/>
      <w:r w:rsidRPr="003E50EC">
        <w:rPr>
          <w:bCs/>
        </w:rPr>
        <w:t>Corti</w:t>
      </w:r>
      <w:proofErr w:type="spellEnd"/>
      <w:r w:rsidRPr="003E50EC">
        <w:rPr>
          <w:bCs/>
        </w:rPr>
        <w:t xml:space="preserve"> </w:t>
      </w:r>
      <w:r w:rsidRPr="003E50EC">
        <w:t>contains the area of the cochlea that contains the receptive c</w:t>
      </w:r>
      <w:r>
        <w:t>ells (hair cells) for audition.</w:t>
      </w:r>
    </w:p>
    <w:p w:rsidR="00274732" w:rsidRDefault="00274732" w:rsidP="00274732">
      <w:pPr>
        <w:pStyle w:val="Heading2"/>
      </w:pPr>
      <w:r>
        <w:t>The central nervous system auditory pathway</w:t>
      </w:r>
    </w:p>
    <w:p w:rsidR="00274732" w:rsidRPr="00DA20B6" w:rsidRDefault="00274732" w:rsidP="00274732">
      <w:pPr>
        <w:pStyle w:val="NoSpacing"/>
      </w:pPr>
      <w:r>
        <w:t>Aft</w:t>
      </w:r>
      <w:r w:rsidRPr="00876C4D">
        <w:t>er leaving the cochlea, auditory signals travel through the auditory nerve and synapse in the cochlear nuclei in the brainstem</w:t>
      </w:r>
      <w:r>
        <w:t xml:space="preserve"> before eventually reaching the thalamus and the primary auditory cortex</w:t>
      </w:r>
      <w:r w:rsidRPr="00876C4D">
        <w:t xml:space="preserve">. </w:t>
      </w:r>
      <w:r>
        <w:t>P</w:t>
      </w:r>
      <w:r w:rsidRPr="00DA20B6">
        <w:t>rojections toward the temporal lobe help us identify sounds</w:t>
      </w:r>
      <w:r>
        <w:t>;</w:t>
      </w:r>
      <w:r w:rsidRPr="00DA20B6">
        <w:t xml:space="preserve"> information directed toward the parietal lobe plays a role in spatial localization and guides our movements in certain directions. </w:t>
      </w:r>
    </w:p>
    <w:p w:rsidR="00274732" w:rsidRDefault="00274732" w:rsidP="00274732">
      <w:pPr>
        <w:pStyle w:val="Heading2"/>
      </w:pPr>
      <w:proofErr w:type="spellStart"/>
      <w:r>
        <w:t>Uber</w:t>
      </w:r>
      <w:proofErr w:type="spellEnd"/>
      <w:r>
        <w:t>-audition: Echolocation in bats</w:t>
      </w:r>
    </w:p>
    <w:p w:rsidR="00274732" w:rsidRPr="00D11883" w:rsidRDefault="00274732" w:rsidP="00274732">
      <w:pPr>
        <w:pStyle w:val="NoSpacing"/>
      </w:pPr>
      <w:r w:rsidRPr="00D11883">
        <w:t xml:space="preserve">Bats </w:t>
      </w:r>
      <w:r>
        <w:t xml:space="preserve">can </w:t>
      </w:r>
      <w:r w:rsidRPr="00D11883">
        <w:t>generate sounds and analyze the</w:t>
      </w:r>
      <w:r>
        <w:t>ir</w:t>
      </w:r>
      <w:r w:rsidRPr="00D11883">
        <w:t xml:space="preserve"> echoes to detect the presence of smal</w:t>
      </w:r>
      <w:r>
        <w:t>l insects up to 10 meters away. Bats alter their signals based on distance to prey. Specialized FM-FM neurons sensitive to the time between sound emission and the echo enable fast and accurate echolocation abilities.</w:t>
      </w:r>
    </w:p>
    <w:p w:rsidR="00274732" w:rsidRDefault="00274732" w:rsidP="00274732">
      <w:pPr>
        <w:pStyle w:val="Heading1"/>
      </w:pPr>
      <w:r>
        <w:t>Touch</w:t>
      </w:r>
    </w:p>
    <w:p w:rsidR="00274732" w:rsidRDefault="00274732" w:rsidP="00274732">
      <w:pPr>
        <w:pStyle w:val="Heading2"/>
      </w:pPr>
      <w:r>
        <w:t>Helen Keller’s unique sensory portal</w:t>
      </w:r>
    </w:p>
    <w:p w:rsidR="00274732" w:rsidRPr="00A92CDF" w:rsidRDefault="00274732" w:rsidP="00274732">
      <w:pPr>
        <w:pStyle w:val="NoSpacing"/>
      </w:pPr>
      <w:r w:rsidRPr="00A92CDF">
        <w:t xml:space="preserve">Born in 1880, Keller lost her sight and hearing when </w:t>
      </w:r>
      <w:r>
        <w:t>she was 19 months old. At 6 years old, Anne Sullivan taught Helen to associate words signed into her palms with various objects. She quickly began to learn many words and learned to read Braille in several languages.</w:t>
      </w:r>
    </w:p>
    <w:p w:rsidR="00274732" w:rsidRDefault="00274732" w:rsidP="00274732">
      <w:pPr>
        <w:pStyle w:val="Heading2"/>
      </w:pPr>
      <w:r>
        <w:t>Touch receptors and the somatosensory pathway</w:t>
      </w:r>
    </w:p>
    <w:p w:rsidR="00274732" w:rsidRPr="00796E65" w:rsidRDefault="00274732" w:rsidP="00274732">
      <w:pPr>
        <w:pStyle w:val="NoSpacing"/>
      </w:pPr>
      <w:r w:rsidRPr="00796E65">
        <w:t xml:space="preserve">Specialized receptors in the skin transmit information about touch and pressure to the central nervous system. </w:t>
      </w:r>
      <w:proofErr w:type="spellStart"/>
      <w:r w:rsidRPr="00796E65">
        <w:rPr>
          <w:bCs/>
        </w:rPr>
        <w:t>Pacinian</w:t>
      </w:r>
      <w:proofErr w:type="spellEnd"/>
      <w:r w:rsidRPr="00796E65">
        <w:rPr>
          <w:bCs/>
        </w:rPr>
        <w:t xml:space="preserve"> corpuscles </w:t>
      </w:r>
      <w:r w:rsidRPr="00796E65">
        <w:t xml:space="preserve">respond to deep pressure, and </w:t>
      </w:r>
      <w:r w:rsidRPr="00796E65">
        <w:rPr>
          <w:bCs/>
        </w:rPr>
        <w:t xml:space="preserve">free nerve endings </w:t>
      </w:r>
      <w:r w:rsidRPr="00796E65">
        <w:t xml:space="preserve">respond to tissue damage and temperature changes (experienced as pain). Tactile information travels via the </w:t>
      </w:r>
      <w:r w:rsidRPr="00796E65">
        <w:rPr>
          <w:bCs/>
        </w:rPr>
        <w:t xml:space="preserve">dorsal column–medial </w:t>
      </w:r>
      <w:proofErr w:type="spellStart"/>
      <w:r w:rsidRPr="00796E65">
        <w:rPr>
          <w:bCs/>
        </w:rPr>
        <w:t>lemniscus</w:t>
      </w:r>
      <w:proofErr w:type="spellEnd"/>
      <w:r w:rsidRPr="00796E65">
        <w:rPr>
          <w:bCs/>
        </w:rPr>
        <w:t xml:space="preserve"> pathway </w:t>
      </w:r>
      <w:r w:rsidRPr="00796E65">
        <w:t xml:space="preserve">to the thalamus </w:t>
      </w:r>
      <w:r w:rsidRPr="00796E65">
        <w:lastRenderedPageBreak/>
        <w:t>(</w:t>
      </w:r>
      <w:r w:rsidRPr="00796E65">
        <w:rPr>
          <w:bCs/>
        </w:rPr>
        <w:t>ventral posterior nucleus) and then the primary somatosensory cortex</w:t>
      </w:r>
      <w:r w:rsidRPr="00796E65">
        <w:t xml:space="preserve"> and se</w:t>
      </w:r>
      <w:r>
        <w:t>condary somatosensory cortex.</w:t>
      </w:r>
    </w:p>
    <w:p w:rsidR="00274732" w:rsidRDefault="00274732" w:rsidP="00274732">
      <w:pPr>
        <w:pStyle w:val="Heading2"/>
      </w:pPr>
      <w:proofErr w:type="spellStart"/>
      <w:r>
        <w:t>Uber</w:t>
      </w:r>
      <w:proofErr w:type="spellEnd"/>
      <w:r>
        <w:t>-touch: Raccoons</w:t>
      </w:r>
    </w:p>
    <w:p w:rsidR="00274732" w:rsidRPr="00AF691C" w:rsidRDefault="00274732" w:rsidP="00274732">
      <w:pPr>
        <w:pStyle w:val="NoSpacing"/>
      </w:pPr>
      <w:r w:rsidRPr="00AE77B6">
        <w:t xml:space="preserve">For both the raccoon forepaw and the platypus bill, much more area is devoted to the sensory function than to the motor function. </w:t>
      </w:r>
      <w:proofErr w:type="gramStart"/>
      <w:r w:rsidRPr="00AE77B6">
        <w:t>the</w:t>
      </w:r>
      <w:proofErr w:type="gramEnd"/>
      <w:r w:rsidRPr="00AE77B6">
        <w:t xml:space="preserve"> human hand </w:t>
      </w:r>
      <w:r>
        <w:t xml:space="preserve">may be even </w:t>
      </w:r>
      <w:r w:rsidRPr="00AE77B6">
        <w:t xml:space="preserve">more sensitive </w:t>
      </w:r>
      <w:r>
        <w:t xml:space="preserve">because we have sensitive </w:t>
      </w:r>
      <w:proofErr w:type="spellStart"/>
      <w:r>
        <w:t>Meissner’s</w:t>
      </w:r>
      <w:proofErr w:type="spellEnd"/>
      <w:r>
        <w:t xml:space="preserve"> corpuscles.</w:t>
      </w:r>
    </w:p>
    <w:p w:rsidR="00274732" w:rsidRDefault="00274732" w:rsidP="00274732">
      <w:pPr>
        <w:pStyle w:val="Heading1"/>
      </w:pPr>
      <w:r>
        <w:t>Context Matters: The healing touch and recovery from brain injury</w:t>
      </w:r>
    </w:p>
    <w:p w:rsidR="00274732" w:rsidRPr="004A1E35" w:rsidRDefault="00274732" w:rsidP="00274732">
      <w:pPr>
        <w:pStyle w:val="NoSpacing"/>
      </w:pPr>
      <w:r>
        <w:t>M</w:t>
      </w:r>
      <w:r w:rsidRPr="004A1E35">
        <w:t xml:space="preserve">assages in premature human babies </w:t>
      </w:r>
      <w:r>
        <w:t xml:space="preserve">are </w:t>
      </w:r>
      <w:r w:rsidRPr="004A1E35">
        <w:t>associated with increased alertness, ability to move spontaneously and</w:t>
      </w:r>
      <w:r>
        <w:t xml:space="preserve"> independently, and body weight. Rodent models further substantiate the power of touch in recovery.</w:t>
      </w:r>
    </w:p>
    <w:p w:rsidR="00274732" w:rsidRDefault="00274732" w:rsidP="00274732">
      <w:pPr>
        <w:pStyle w:val="Heading1"/>
      </w:pPr>
      <w:r>
        <w:t>Smell</w:t>
      </w:r>
    </w:p>
    <w:p w:rsidR="00274732" w:rsidRDefault="00274732" w:rsidP="00274732">
      <w:pPr>
        <w:pStyle w:val="Heading2"/>
      </w:pPr>
      <w:r>
        <w:t>Stimulus and receptor</w:t>
      </w:r>
    </w:p>
    <w:p w:rsidR="00274732" w:rsidRPr="00536B3C" w:rsidRDefault="00274732" w:rsidP="00274732">
      <w:pPr>
        <w:pStyle w:val="NoSpacing"/>
      </w:pPr>
      <w:r>
        <w:t>Humans can detect around 10,000 unique odors. The olfactory epithelium contains olfactory sensory neurons.</w:t>
      </w:r>
    </w:p>
    <w:p w:rsidR="00274732" w:rsidRDefault="00274732" w:rsidP="00274732">
      <w:pPr>
        <w:pStyle w:val="Heading2"/>
      </w:pPr>
      <w:r>
        <w:t>Olfactory neural destinations and emotional connections</w:t>
      </w:r>
    </w:p>
    <w:p w:rsidR="00274732" w:rsidRPr="00536B3C" w:rsidRDefault="00274732" w:rsidP="00274732">
      <w:pPr>
        <w:pStyle w:val="NoSpacing"/>
      </w:pPr>
      <w:r w:rsidRPr="00536B3C">
        <w:t xml:space="preserve">Olfactory sensory neurons synapse in the </w:t>
      </w:r>
      <w:r w:rsidRPr="00536B3C">
        <w:rPr>
          <w:bCs/>
        </w:rPr>
        <w:t xml:space="preserve">olfactory bulbs </w:t>
      </w:r>
      <w:r w:rsidRPr="00536B3C">
        <w:t>that lie at the ventral surface of the brain just</w:t>
      </w:r>
      <w:r>
        <w:t xml:space="preserve"> above the olfactory epithelium, and olfactory information eventually reaches the limbic system. Odor associations may be innate, but can also be learned.</w:t>
      </w:r>
    </w:p>
    <w:p w:rsidR="00274732" w:rsidRDefault="00274732" w:rsidP="00274732">
      <w:pPr>
        <w:pStyle w:val="Heading2"/>
      </w:pPr>
      <w:r>
        <w:t>Pheromones</w:t>
      </w:r>
    </w:p>
    <w:p w:rsidR="00274732" w:rsidRPr="00C13BE4" w:rsidRDefault="00274732" w:rsidP="00274732">
      <w:pPr>
        <w:pStyle w:val="NoSpacing"/>
      </w:pPr>
      <w:r w:rsidRPr="00C13BE4">
        <w:t xml:space="preserve">Effects of pheromones are diverse, ranging from eliciting aggression in </w:t>
      </w:r>
      <w:r w:rsidRPr="00C13BE4">
        <w:rPr>
          <w:bCs/>
        </w:rPr>
        <w:t xml:space="preserve">conspecific </w:t>
      </w:r>
      <w:r w:rsidRPr="00C13BE4">
        <w:t xml:space="preserve">males to triggering sexual receptivity in females. Pheromones are detected by an </w:t>
      </w:r>
      <w:r w:rsidRPr="00C13BE4">
        <w:rPr>
          <w:bCs/>
        </w:rPr>
        <w:t xml:space="preserve">accessory olfactory </w:t>
      </w:r>
      <w:proofErr w:type="gramStart"/>
      <w:r w:rsidRPr="00C13BE4">
        <w:rPr>
          <w:bCs/>
        </w:rPr>
        <w:t>system</w:t>
      </w:r>
      <w:r w:rsidRPr="00C13BE4">
        <w:t>,</w:t>
      </w:r>
      <w:proofErr w:type="gramEnd"/>
      <w:r w:rsidRPr="00C13BE4">
        <w:t xml:space="preserve"> information eventually reaches the hypothalamus and amygdala. The human pheromone detection system is much less developed than in rodents</w:t>
      </w:r>
      <w:r>
        <w:t xml:space="preserve"> or other mammals</w:t>
      </w:r>
      <w:r w:rsidRPr="00C13BE4">
        <w:t>.</w:t>
      </w:r>
      <w:r>
        <w:t xml:space="preserve"> Pheromones provide a way to send information between conspecifics without spoken language.</w:t>
      </w:r>
    </w:p>
    <w:p w:rsidR="00274732" w:rsidRDefault="00274732" w:rsidP="00274732">
      <w:pPr>
        <w:pStyle w:val="Heading2"/>
      </w:pPr>
      <w:proofErr w:type="spellStart"/>
      <w:r>
        <w:t>Uber</w:t>
      </w:r>
      <w:proofErr w:type="spellEnd"/>
      <w:r>
        <w:t>-olfaction: Rats</w:t>
      </w:r>
    </w:p>
    <w:p w:rsidR="00274732" w:rsidRPr="004447EC" w:rsidRDefault="00274732" w:rsidP="00274732">
      <w:pPr>
        <w:pStyle w:val="NoSpacing"/>
      </w:pPr>
      <w:proofErr w:type="gramStart"/>
      <w:r w:rsidRPr="004447EC">
        <w:t>the</w:t>
      </w:r>
      <w:proofErr w:type="gramEnd"/>
      <w:r w:rsidRPr="004447EC">
        <w:t xml:space="preserve"> giant African pouch rat has been trained to detect the presence of trinitrotoluene (TNT) in l</w:t>
      </w:r>
      <w:r>
        <w:t>and mines in Mozambique, Africa; the rats may also be able to detect tuberculosis in human saliva. Rats are much more productive and cost efficient than a typical human technician.</w:t>
      </w:r>
    </w:p>
    <w:p w:rsidR="00274732" w:rsidRDefault="00274732" w:rsidP="00274732">
      <w:pPr>
        <w:pStyle w:val="Heading1"/>
      </w:pPr>
      <w:r>
        <w:t>Final thoughts on sensory integration and adaptation</w:t>
      </w:r>
    </w:p>
    <w:p w:rsidR="00274732" w:rsidRPr="004447EC" w:rsidRDefault="00274732" w:rsidP="00274732">
      <w:pPr>
        <w:pStyle w:val="NoSpacing"/>
      </w:pPr>
      <w:r>
        <w:t xml:space="preserve">Much of our sensory experiences are multisensory, despite the tendency to study the senses in isolation. </w:t>
      </w:r>
      <w:r w:rsidRPr="000D22C3">
        <w:t>Approximately 75% of the primate cortex comprises cortical association areas, providing opportunit</w:t>
      </w:r>
      <w:r>
        <w:t>y</w:t>
      </w:r>
      <w:r w:rsidRPr="000D22C3">
        <w:t xml:space="preserve"> for integrative analysis </w:t>
      </w:r>
      <w:r>
        <w:t>of environmental surroundings.</w:t>
      </w:r>
    </w:p>
    <w:p w:rsidR="00274732" w:rsidRDefault="00274732" w:rsidP="00274732">
      <w:pPr>
        <w:pStyle w:val="Heading1"/>
      </w:pPr>
      <w:r>
        <w:t>Laboratory Exploration: Somatosensory cortical maps in the rat</w:t>
      </w:r>
    </w:p>
    <w:p w:rsidR="00274732" w:rsidRDefault="00274732" w:rsidP="00274732">
      <w:pPr>
        <w:pStyle w:val="NoSpacing"/>
      </w:pPr>
      <w:r>
        <w:t>Careful single-unit recording can be used to systematically map out the stimulus selectivity of sensory cortices in nonhuman animals. By comparing what kind of sensory stimulus (e.g., tactile stimulation of a particular body region) evokes the most robust activity in a given region, scientists can build maps of sensory regions.</w:t>
      </w:r>
    </w:p>
    <w:p w:rsidR="001B2102" w:rsidRDefault="001B2102" w:rsidP="00274732">
      <w:bookmarkStart w:id="0" w:name="_GoBack"/>
      <w:bookmarkEnd w:id="0"/>
    </w:p>
    <w:sectPr w:rsidR="001B21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732"/>
    <w:rsid w:val="001B2102"/>
    <w:rsid w:val="00274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73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274732"/>
    <w:pPr>
      <w:spacing w:before="120"/>
      <w:outlineLvl w:val="0"/>
    </w:pPr>
    <w:rPr>
      <w:b/>
      <w:sz w:val="28"/>
    </w:rPr>
  </w:style>
  <w:style w:type="paragraph" w:styleId="Heading2">
    <w:name w:val="heading 2"/>
    <w:basedOn w:val="Normal"/>
    <w:next w:val="Normal"/>
    <w:link w:val="Heading2Char"/>
    <w:uiPriority w:val="9"/>
    <w:unhideWhenUsed/>
    <w:qFormat/>
    <w:rsid w:val="00274732"/>
    <w:pPr>
      <w:spacing w:before="120"/>
      <w:outlineLvl w:val="1"/>
    </w:pPr>
    <w:rPr>
      <w:i/>
    </w:rPr>
  </w:style>
  <w:style w:type="paragraph" w:styleId="Heading3">
    <w:name w:val="heading 3"/>
    <w:basedOn w:val="Normal"/>
    <w:next w:val="Normal"/>
    <w:link w:val="Heading3Char"/>
    <w:uiPriority w:val="9"/>
    <w:unhideWhenUsed/>
    <w:qFormat/>
    <w:rsid w:val="00274732"/>
    <w:pPr>
      <w:spacing w:before="80"/>
      <w:ind w:left="720"/>
      <w:outlineLvl w:val="2"/>
    </w:pPr>
    <w:rPr>
      <w:rFonts w:cstheme="min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4732"/>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274732"/>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274732"/>
    <w:rPr>
      <w:rFonts w:ascii="Times New Roman" w:hAnsi="Times New Roman"/>
      <w:bCs/>
      <w:i/>
      <w:sz w:val="24"/>
      <w:szCs w:val="24"/>
    </w:rPr>
  </w:style>
  <w:style w:type="paragraph" w:styleId="NoSpacing">
    <w:name w:val="No Spacing"/>
    <w:basedOn w:val="Normal"/>
    <w:uiPriority w:val="1"/>
    <w:qFormat/>
    <w:rsid w:val="00274732"/>
    <w:pPr>
      <w:ind w:left="720"/>
    </w:pPr>
    <w:rPr>
      <w:rFonts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73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274732"/>
    <w:pPr>
      <w:spacing w:before="120"/>
      <w:outlineLvl w:val="0"/>
    </w:pPr>
    <w:rPr>
      <w:b/>
      <w:sz w:val="28"/>
    </w:rPr>
  </w:style>
  <w:style w:type="paragraph" w:styleId="Heading2">
    <w:name w:val="heading 2"/>
    <w:basedOn w:val="Normal"/>
    <w:next w:val="Normal"/>
    <w:link w:val="Heading2Char"/>
    <w:uiPriority w:val="9"/>
    <w:unhideWhenUsed/>
    <w:qFormat/>
    <w:rsid w:val="00274732"/>
    <w:pPr>
      <w:spacing w:before="120"/>
      <w:outlineLvl w:val="1"/>
    </w:pPr>
    <w:rPr>
      <w:i/>
    </w:rPr>
  </w:style>
  <w:style w:type="paragraph" w:styleId="Heading3">
    <w:name w:val="heading 3"/>
    <w:basedOn w:val="Normal"/>
    <w:next w:val="Normal"/>
    <w:link w:val="Heading3Char"/>
    <w:uiPriority w:val="9"/>
    <w:unhideWhenUsed/>
    <w:qFormat/>
    <w:rsid w:val="00274732"/>
    <w:pPr>
      <w:spacing w:before="80"/>
      <w:ind w:left="720"/>
      <w:outlineLvl w:val="2"/>
    </w:pPr>
    <w:rPr>
      <w:rFonts w:cstheme="min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4732"/>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274732"/>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274732"/>
    <w:rPr>
      <w:rFonts w:ascii="Times New Roman" w:hAnsi="Times New Roman"/>
      <w:bCs/>
      <w:i/>
      <w:sz w:val="24"/>
      <w:szCs w:val="24"/>
    </w:rPr>
  </w:style>
  <w:style w:type="paragraph" w:styleId="NoSpacing">
    <w:name w:val="No Spacing"/>
    <w:basedOn w:val="Normal"/>
    <w:uiPriority w:val="1"/>
    <w:qFormat/>
    <w:rsid w:val="00274732"/>
    <w:pPr>
      <w:ind w:left="72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1218</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8151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2017-05-17T16:16:00Z</dcterms:created>
  <dcterms:modified xsi:type="dcterms:W3CDTF">2017-05-17T16:17:00Z</dcterms:modified>
</cp:coreProperties>
</file>