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2160"/>
        <w:gridCol w:w="2700"/>
      </w:tblGrid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and why did the deerskin trade reshape Native American life?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environmental factors in both Europe and North America impact trade?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Immigrants and Indians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Arrival of Immigrants in Chains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Impact of Irish and German Immigration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Slave Resistance and the Creation of Georgia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Settler Colonialism and Eastern Indians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Minds, Souls, and Wallets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North Americans Engage the Enlightenment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Becoming a Consumer Society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Global Passages: The Deerskin Trade and Indian Consumers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Revivals and the Rise of Evangelical Christianity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African, African American and Indian Awakenings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North America and the French and Indian War, 1754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1763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Struggle for the Ohio Valley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War in North America and Europe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Britain Gains Control of Eastern North America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Anthony Benezet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Jonathan Edwards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Benjamin Franklin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Marquis de Montcalm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Neolin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James Oglethorpe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Pitt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George Washington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Phyllis Wheatley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George Whitefield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James Wolfe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Woolman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Albany Congress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American Philosophical Society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French and Indian War (Seven Years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War)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gang system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Maroons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Methodists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Moravians (United Brethren)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Nativist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Ohio Company of Virginia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Plantation Act of 1740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redemptioners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revivalists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Settler colonialism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Stono Rebellion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task system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Treaty of Paris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War of Jenkins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Ear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Native Americans respond to increasing pressure from British settler colonialism? What strategies did they use to try to reclaim power?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North America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relationship to the global circulation of people, goods, and ideas intensified between 1730 and 1763 but did not change fundamentally during that period.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Do you agree? Explain, using specific examples from this chapter.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British North Americans considered themselves more British in 1763, even though they had never been more American. Why?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11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CHAPTER 5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 xml:space="preserve">BATTLING FOR SOULS, MINDS, AND THE HEART OF </w:t>
    </w:r>
    <w:r>
      <w:rPr>
        <w:sz w:val="20"/>
        <w:szCs w:val="20"/>
        <w:rtl w:val="0"/>
        <w:lang w:val="en-US"/>
      </w:rPr>
      <w:t xml:space="preserve">NORTH </w:t>
    </w:r>
    <w:r>
      <w:rPr>
        <w:sz w:val="20"/>
        <w:szCs w:val="20"/>
        <w:rtl w:val="0"/>
        <w:lang w:val="en-US"/>
      </w:rPr>
      <w:t>AMERICA, 1730</w:t>
    </w:r>
    <w:r>
      <w:rPr>
        <w:sz w:val="20"/>
        <w:szCs w:val="20"/>
        <w:rtl w:val="0"/>
        <w:lang w:val="en-US"/>
      </w:rPr>
      <w:t>–</w:t>
    </w:r>
    <w:r>
      <w:rPr>
        <w:sz w:val="20"/>
        <w:szCs w:val="20"/>
        <w:rtl w:val="0"/>
        <w:lang w:val="en-US"/>
      </w:rPr>
      <w:t>1763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